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3665" w:rsidRPr="004A3665" w:rsidRDefault="004A3665" w:rsidP="004A3665">
      <w:pPr>
        <w:spacing w:after="0" w:line="240" w:lineRule="auto"/>
        <w:jc w:val="both"/>
        <w:rPr>
          <w:rFonts w:ascii="Times New Roman" w:eastAsia="Times New Roman" w:hAnsi="Times New Roman" w:cs="Times New Roman"/>
          <w:sz w:val="24"/>
          <w:szCs w:val="24"/>
          <w:lang w:eastAsia="es-CO"/>
        </w:rPr>
      </w:pPr>
    </w:p>
    <w:p w:rsidR="004A3665" w:rsidRPr="004A3665" w:rsidRDefault="004A3665" w:rsidP="004A3665">
      <w:pPr>
        <w:spacing w:after="0" w:line="240" w:lineRule="auto"/>
        <w:jc w:val="both"/>
        <w:rPr>
          <w:rFonts w:ascii="Times New Roman" w:eastAsia="Times New Roman" w:hAnsi="Times New Roman" w:cs="Times New Roman"/>
          <w:sz w:val="24"/>
          <w:szCs w:val="24"/>
          <w:lang w:eastAsia="es-CO"/>
        </w:rPr>
      </w:pPr>
    </w:p>
    <w:p w:rsidR="004A3665" w:rsidRPr="004A3665" w:rsidRDefault="004A3665" w:rsidP="004A3665">
      <w:pPr>
        <w:spacing w:after="0" w:line="240" w:lineRule="auto"/>
        <w:jc w:val="both"/>
        <w:rPr>
          <w:rFonts w:ascii="Times New Roman" w:eastAsia="Times New Roman" w:hAnsi="Times New Roman" w:cs="Times New Roman"/>
          <w:sz w:val="24"/>
          <w:szCs w:val="24"/>
          <w:lang w:eastAsia="es-CO"/>
        </w:rPr>
      </w:pPr>
    </w:p>
    <w:p w:rsidR="004A3665" w:rsidRPr="004A3665" w:rsidRDefault="004A3665" w:rsidP="004A3665">
      <w:pPr>
        <w:spacing w:after="0" w:line="240" w:lineRule="auto"/>
        <w:jc w:val="center"/>
        <w:rPr>
          <w:rFonts w:ascii="Times New Roman" w:eastAsia="Times New Roman" w:hAnsi="Times New Roman" w:cs="Times New Roman"/>
          <w:sz w:val="24"/>
          <w:szCs w:val="24"/>
          <w:lang w:eastAsia="es-CO"/>
        </w:rPr>
      </w:pPr>
      <w:r w:rsidRPr="004A3665">
        <w:rPr>
          <w:rFonts w:ascii="Times New Roman" w:eastAsia="Times New Roman" w:hAnsi="Times New Roman" w:cs="Times New Roman"/>
          <w:b/>
          <w:bCs/>
          <w:sz w:val="24"/>
          <w:szCs w:val="24"/>
          <w:lang w:eastAsia="es-CO"/>
        </w:rPr>
        <w:t xml:space="preserve">OFICIO </w:t>
      </w:r>
      <w:proofErr w:type="spellStart"/>
      <w:r w:rsidRPr="004A3665">
        <w:rPr>
          <w:rFonts w:ascii="Times New Roman" w:eastAsia="Times New Roman" w:hAnsi="Times New Roman" w:cs="Times New Roman"/>
          <w:b/>
          <w:bCs/>
          <w:sz w:val="24"/>
          <w:szCs w:val="24"/>
          <w:lang w:eastAsia="es-CO"/>
        </w:rPr>
        <w:t>Nº</w:t>
      </w:r>
      <w:proofErr w:type="spellEnd"/>
      <w:r w:rsidRPr="004A3665">
        <w:rPr>
          <w:rFonts w:ascii="Times New Roman" w:eastAsia="Times New Roman" w:hAnsi="Times New Roman" w:cs="Times New Roman"/>
          <w:b/>
          <w:bCs/>
          <w:sz w:val="24"/>
          <w:szCs w:val="24"/>
          <w:lang w:eastAsia="es-CO"/>
        </w:rPr>
        <w:t xml:space="preserve"> 2024 [020445]</w:t>
      </w:r>
    </w:p>
    <w:p w:rsidR="004A3665" w:rsidRPr="004A3665" w:rsidRDefault="004A3665" w:rsidP="004A3665">
      <w:pPr>
        <w:spacing w:after="0" w:line="240" w:lineRule="auto"/>
        <w:jc w:val="center"/>
        <w:rPr>
          <w:rFonts w:ascii="Times New Roman" w:eastAsia="Times New Roman" w:hAnsi="Times New Roman" w:cs="Times New Roman"/>
          <w:sz w:val="24"/>
          <w:szCs w:val="24"/>
          <w:lang w:eastAsia="es-CO"/>
        </w:rPr>
      </w:pPr>
      <w:r w:rsidRPr="004A3665">
        <w:rPr>
          <w:rFonts w:ascii="Times New Roman" w:eastAsia="Times New Roman" w:hAnsi="Times New Roman" w:cs="Times New Roman"/>
          <w:b/>
          <w:bCs/>
          <w:sz w:val="24"/>
          <w:szCs w:val="24"/>
          <w:lang w:eastAsia="es-CO"/>
        </w:rPr>
        <w:t>16-08-2019</w:t>
      </w:r>
    </w:p>
    <w:p w:rsidR="004A3665" w:rsidRPr="004A3665" w:rsidRDefault="004A3665" w:rsidP="004A3665">
      <w:pPr>
        <w:spacing w:after="0" w:line="240" w:lineRule="auto"/>
        <w:jc w:val="center"/>
        <w:rPr>
          <w:rFonts w:ascii="Times New Roman" w:eastAsia="Times New Roman" w:hAnsi="Times New Roman" w:cs="Times New Roman"/>
          <w:sz w:val="24"/>
          <w:szCs w:val="24"/>
          <w:lang w:eastAsia="es-CO"/>
        </w:rPr>
      </w:pPr>
      <w:r w:rsidRPr="004A3665">
        <w:rPr>
          <w:rFonts w:ascii="Times New Roman" w:eastAsia="Times New Roman" w:hAnsi="Times New Roman" w:cs="Times New Roman"/>
          <w:b/>
          <w:bCs/>
          <w:sz w:val="24"/>
          <w:szCs w:val="24"/>
          <w:lang w:eastAsia="es-CO"/>
        </w:rPr>
        <w:t>DIAN</w:t>
      </w:r>
    </w:p>
    <w:p w:rsidR="004A3665" w:rsidRPr="004A3665" w:rsidRDefault="004A3665" w:rsidP="004A3665">
      <w:pPr>
        <w:spacing w:after="0" w:line="240" w:lineRule="auto"/>
        <w:jc w:val="both"/>
        <w:rPr>
          <w:rFonts w:ascii="Times New Roman" w:eastAsia="Times New Roman" w:hAnsi="Times New Roman" w:cs="Times New Roman"/>
          <w:sz w:val="24"/>
          <w:szCs w:val="24"/>
          <w:lang w:eastAsia="es-CO"/>
        </w:rPr>
      </w:pPr>
      <w:r w:rsidRPr="004A3665">
        <w:rPr>
          <w:rFonts w:ascii="Times New Roman" w:eastAsia="Times New Roman" w:hAnsi="Times New Roman" w:cs="Times New Roman"/>
          <w:sz w:val="24"/>
          <w:szCs w:val="24"/>
          <w:lang w:eastAsia="es-CO"/>
        </w:rPr>
        <w:t> </w:t>
      </w:r>
    </w:p>
    <w:p w:rsidR="004A3665" w:rsidRPr="004A3665" w:rsidRDefault="004A3665" w:rsidP="004A3665">
      <w:pPr>
        <w:spacing w:after="0" w:line="240" w:lineRule="auto"/>
        <w:jc w:val="both"/>
        <w:rPr>
          <w:rFonts w:ascii="Times New Roman" w:eastAsia="Times New Roman" w:hAnsi="Times New Roman" w:cs="Times New Roman"/>
          <w:sz w:val="24"/>
          <w:szCs w:val="24"/>
          <w:lang w:eastAsia="es-CO"/>
        </w:rPr>
      </w:pPr>
      <w:r w:rsidRPr="004A3665">
        <w:rPr>
          <w:rFonts w:ascii="Times New Roman" w:eastAsia="Times New Roman" w:hAnsi="Times New Roman" w:cs="Times New Roman"/>
          <w:sz w:val="24"/>
          <w:szCs w:val="24"/>
          <w:lang w:eastAsia="es-CO"/>
        </w:rPr>
        <w:t> </w:t>
      </w:r>
    </w:p>
    <w:p w:rsidR="004A3665" w:rsidRPr="004A3665" w:rsidRDefault="004A3665" w:rsidP="004A3665">
      <w:pPr>
        <w:spacing w:after="0" w:line="240" w:lineRule="auto"/>
        <w:jc w:val="both"/>
        <w:rPr>
          <w:rFonts w:ascii="Times New Roman" w:eastAsia="Times New Roman" w:hAnsi="Times New Roman" w:cs="Times New Roman"/>
          <w:sz w:val="24"/>
          <w:szCs w:val="24"/>
          <w:lang w:eastAsia="es-CO"/>
        </w:rPr>
      </w:pPr>
      <w:r w:rsidRPr="004A3665">
        <w:rPr>
          <w:rFonts w:ascii="Times New Roman" w:eastAsia="Times New Roman" w:hAnsi="Times New Roman" w:cs="Times New Roman"/>
          <w:sz w:val="24"/>
          <w:szCs w:val="24"/>
          <w:lang w:eastAsia="es-CO"/>
        </w:rPr>
        <w:t>Subdirección de Gestión Normativa y Doctrina</w:t>
      </w:r>
    </w:p>
    <w:p w:rsidR="004A3665" w:rsidRPr="004A3665" w:rsidRDefault="004A3665" w:rsidP="004A3665">
      <w:pPr>
        <w:spacing w:after="0" w:line="240" w:lineRule="auto"/>
        <w:jc w:val="both"/>
        <w:rPr>
          <w:rFonts w:ascii="Times New Roman" w:eastAsia="Times New Roman" w:hAnsi="Times New Roman" w:cs="Times New Roman"/>
          <w:sz w:val="24"/>
          <w:szCs w:val="24"/>
          <w:lang w:eastAsia="es-CO"/>
        </w:rPr>
      </w:pPr>
      <w:r w:rsidRPr="004A3665">
        <w:rPr>
          <w:rFonts w:ascii="Times New Roman" w:eastAsia="Times New Roman" w:hAnsi="Times New Roman" w:cs="Times New Roman"/>
          <w:sz w:val="24"/>
          <w:szCs w:val="24"/>
          <w:lang w:eastAsia="es-CO"/>
        </w:rPr>
        <w:t>100208221– 002024</w:t>
      </w:r>
    </w:p>
    <w:p w:rsidR="004A3665" w:rsidRPr="004A3665" w:rsidRDefault="004A3665" w:rsidP="004A3665">
      <w:pPr>
        <w:spacing w:after="0" w:line="240" w:lineRule="auto"/>
        <w:jc w:val="both"/>
        <w:rPr>
          <w:rFonts w:ascii="Times New Roman" w:eastAsia="Times New Roman" w:hAnsi="Times New Roman" w:cs="Times New Roman"/>
          <w:sz w:val="24"/>
          <w:szCs w:val="24"/>
          <w:lang w:eastAsia="es-CO"/>
        </w:rPr>
      </w:pPr>
      <w:r w:rsidRPr="004A3665">
        <w:rPr>
          <w:rFonts w:ascii="Times New Roman" w:eastAsia="Times New Roman" w:hAnsi="Times New Roman" w:cs="Times New Roman"/>
          <w:sz w:val="24"/>
          <w:szCs w:val="24"/>
          <w:lang w:eastAsia="es-CO"/>
        </w:rPr>
        <w:t>Bogotá, D.C. </w:t>
      </w:r>
    </w:p>
    <w:p w:rsidR="004A3665" w:rsidRPr="004A3665" w:rsidRDefault="004A3665" w:rsidP="004A3665">
      <w:pPr>
        <w:spacing w:after="0" w:line="240" w:lineRule="auto"/>
        <w:jc w:val="both"/>
        <w:rPr>
          <w:rFonts w:ascii="Times New Roman" w:eastAsia="Times New Roman" w:hAnsi="Times New Roman" w:cs="Times New Roman"/>
          <w:sz w:val="24"/>
          <w:szCs w:val="24"/>
          <w:lang w:eastAsia="es-CO"/>
        </w:rPr>
      </w:pPr>
      <w:r w:rsidRPr="004A3665">
        <w:rPr>
          <w:rFonts w:ascii="Times New Roman" w:eastAsia="Times New Roman" w:hAnsi="Times New Roman" w:cs="Times New Roman"/>
          <w:sz w:val="24"/>
          <w:szCs w:val="24"/>
          <w:lang w:eastAsia="es-CO"/>
        </w:rPr>
        <w:t> </w:t>
      </w:r>
    </w:p>
    <w:p w:rsidR="004A3665" w:rsidRPr="004A3665" w:rsidRDefault="004A3665" w:rsidP="004A3665">
      <w:pPr>
        <w:spacing w:after="0" w:line="240" w:lineRule="auto"/>
        <w:jc w:val="both"/>
        <w:rPr>
          <w:rFonts w:ascii="Times New Roman" w:eastAsia="Times New Roman" w:hAnsi="Times New Roman" w:cs="Times New Roman"/>
          <w:sz w:val="24"/>
          <w:szCs w:val="24"/>
          <w:lang w:eastAsia="es-CO"/>
        </w:rPr>
      </w:pPr>
      <w:proofErr w:type="spellStart"/>
      <w:r w:rsidRPr="004A3665">
        <w:rPr>
          <w:rFonts w:ascii="Times New Roman" w:eastAsia="Times New Roman" w:hAnsi="Times New Roman" w:cs="Times New Roman"/>
          <w:b/>
          <w:bCs/>
          <w:sz w:val="24"/>
          <w:szCs w:val="24"/>
          <w:lang w:eastAsia="es-CO"/>
        </w:rPr>
        <w:t>Ref</w:t>
      </w:r>
      <w:proofErr w:type="spellEnd"/>
      <w:r w:rsidRPr="004A3665">
        <w:rPr>
          <w:rFonts w:ascii="Times New Roman" w:eastAsia="Times New Roman" w:hAnsi="Times New Roman" w:cs="Times New Roman"/>
          <w:b/>
          <w:bCs/>
          <w:sz w:val="24"/>
          <w:szCs w:val="24"/>
          <w:lang w:eastAsia="es-CO"/>
        </w:rPr>
        <w:t>:</w:t>
      </w:r>
      <w:r w:rsidRPr="004A3665">
        <w:rPr>
          <w:rFonts w:ascii="Times New Roman" w:eastAsia="Times New Roman" w:hAnsi="Times New Roman" w:cs="Times New Roman"/>
          <w:sz w:val="24"/>
          <w:szCs w:val="24"/>
          <w:lang w:eastAsia="es-CO"/>
        </w:rPr>
        <w:t> Radicado 100045542 del 05/07/2019</w:t>
      </w:r>
    </w:p>
    <w:p w:rsidR="004A3665" w:rsidRPr="004A3665" w:rsidRDefault="004A3665" w:rsidP="004A3665">
      <w:pPr>
        <w:spacing w:after="0" w:line="240" w:lineRule="auto"/>
        <w:jc w:val="both"/>
        <w:rPr>
          <w:rFonts w:ascii="Times New Roman" w:eastAsia="Times New Roman" w:hAnsi="Times New Roman" w:cs="Times New Roman"/>
          <w:sz w:val="24"/>
          <w:szCs w:val="24"/>
          <w:lang w:eastAsia="es-CO"/>
        </w:rPr>
      </w:pPr>
      <w:r w:rsidRPr="004A3665">
        <w:rPr>
          <w:rFonts w:ascii="Times New Roman" w:eastAsia="Times New Roman" w:hAnsi="Times New Roman" w:cs="Times New Roman"/>
          <w:sz w:val="24"/>
          <w:szCs w:val="24"/>
          <w:lang w:eastAsia="es-CO"/>
        </w:rPr>
        <w:t> </w:t>
      </w:r>
    </w:p>
    <w:tbl>
      <w:tblPr>
        <w:tblW w:w="0" w:type="auto"/>
        <w:tblCellMar>
          <w:left w:w="0" w:type="dxa"/>
          <w:right w:w="0" w:type="dxa"/>
        </w:tblCellMar>
        <w:tblLook w:val="04A0" w:firstRow="1" w:lastRow="0" w:firstColumn="1" w:lastColumn="0" w:noHBand="0" w:noVBand="1"/>
      </w:tblPr>
      <w:tblGrid>
        <w:gridCol w:w="2809"/>
        <w:gridCol w:w="222"/>
        <w:gridCol w:w="222"/>
        <w:gridCol w:w="5128"/>
      </w:tblGrid>
      <w:tr w:rsidR="004A3665" w:rsidRPr="004A3665" w:rsidTr="004A3665">
        <w:tc>
          <w:tcPr>
            <w:tcW w:w="0" w:type="auto"/>
            <w:tcBorders>
              <w:top w:val="nil"/>
              <w:left w:val="nil"/>
              <w:bottom w:val="nil"/>
              <w:right w:val="nil"/>
            </w:tcBorders>
            <w:shd w:val="clear" w:color="auto" w:fill="auto"/>
            <w:tcMar>
              <w:top w:w="0" w:type="dxa"/>
              <w:left w:w="108" w:type="dxa"/>
              <w:bottom w:w="0" w:type="dxa"/>
              <w:right w:w="108" w:type="dxa"/>
            </w:tcMar>
            <w:hideMark/>
          </w:tcPr>
          <w:p w:rsidR="004A3665" w:rsidRPr="004A3665" w:rsidRDefault="004A3665" w:rsidP="004A3665">
            <w:pPr>
              <w:spacing w:after="0" w:line="240" w:lineRule="auto"/>
              <w:jc w:val="both"/>
              <w:rPr>
                <w:rFonts w:ascii="Times New Roman" w:eastAsia="Times New Roman" w:hAnsi="Times New Roman" w:cs="Times New Roman"/>
                <w:sz w:val="24"/>
                <w:szCs w:val="24"/>
                <w:lang w:eastAsia="es-CO"/>
              </w:rPr>
            </w:pPr>
            <w:r w:rsidRPr="004A3665">
              <w:rPr>
                <w:rFonts w:ascii="Times New Roman" w:eastAsia="Times New Roman" w:hAnsi="Times New Roman" w:cs="Times New Roman"/>
                <w:b/>
                <w:bCs/>
                <w:sz w:val="24"/>
                <w:szCs w:val="24"/>
                <w:lang w:eastAsia="es-CO"/>
              </w:rPr>
              <w:t>Tema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4A3665" w:rsidRPr="004A3665" w:rsidRDefault="004A3665" w:rsidP="004A3665">
            <w:pPr>
              <w:spacing w:after="0" w:line="240" w:lineRule="auto"/>
              <w:rPr>
                <w:rFonts w:ascii="Times New Roman" w:eastAsia="Times New Roman" w:hAnsi="Times New Roman" w:cs="Times New Roman"/>
                <w:sz w:val="24"/>
                <w:szCs w:val="24"/>
                <w:lang w:eastAsia="es-CO"/>
              </w:rPr>
            </w:pPr>
          </w:p>
        </w:tc>
        <w:tc>
          <w:tcPr>
            <w:tcW w:w="0" w:type="auto"/>
            <w:tcBorders>
              <w:top w:val="nil"/>
              <w:left w:val="nil"/>
              <w:bottom w:val="nil"/>
              <w:right w:val="nil"/>
            </w:tcBorders>
            <w:shd w:val="clear" w:color="auto" w:fill="auto"/>
            <w:tcMar>
              <w:top w:w="0" w:type="dxa"/>
              <w:left w:w="108" w:type="dxa"/>
              <w:bottom w:w="0" w:type="dxa"/>
              <w:right w:w="108" w:type="dxa"/>
            </w:tcMar>
            <w:hideMark/>
          </w:tcPr>
          <w:p w:rsidR="004A3665" w:rsidRPr="004A3665" w:rsidRDefault="004A3665" w:rsidP="004A3665">
            <w:pPr>
              <w:spacing w:after="0" w:line="240" w:lineRule="auto"/>
              <w:rPr>
                <w:rFonts w:ascii="Times New Roman" w:eastAsia="Times New Roman" w:hAnsi="Times New Roman" w:cs="Times New Roman"/>
                <w:sz w:val="24"/>
                <w:szCs w:val="24"/>
                <w:lang w:eastAsia="es-CO"/>
              </w:rPr>
            </w:pPr>
          </w:p>
        </w:tc>
        <w:tc>
          <w:tcPr>
            <w:tcW w:w="0" w:type="auto"/>
            <w:tcBorders>
              <w:top w:val="nil"/>
              <w:left w:val="nil"/>
              <w:bottom w:val="nil"/>
              <w:right w:val="nil"/>
            </w:tcBorders>
            <w:shd w:val="clear" w:color="auto" w:fill="auto"/>
            <w:tcMar>
              <w:top w:w="0" w:type="dxa"/>
              <w:left w:w="108" w:type="dxa"/>
              <w:bottom w:w="0" w:type="dxa"/>
              <w:right w:w="108" w:type="dxa"/>
            </w:tcMar>
            <w:hideMark/>
          </w:tcPr>
          <w:p w:rsidR="004A3665" w:rsidRPr="004A3665" w:rsidRDefault="004A3665" w:rsidP="004A3665">
            <w:pPr>
              <w:spacing w:after="0" w:line="240" w:lineRule="auto"/>
              <w:jc w:val="both"/>
              <w:rPr>
                <w:rFonts w:ascii="Times New Roman" w:eastAsia="Times New Roman" w:hAnsi="Times New Roman" w:cs="Times New Roman"/>
                <w:sz w:val="24"/>
                <w:szCs w:val="24"/>
                <w:lang w:eastAsia="es-CO"/>
              </w:rPr>
            </w:pPr>
            <w:r w:rsidRPr="004A3665">
              <w:rPr>
                <w:rFonts w:ascii="Times New Roman" w:eastAsia="Times New Roman" w:hAnsi="Times New Roman" w:cs="Times New Roman"/>
                <w:sz w:val="24"/>
                <w:szCs w:val="24"/>
                <w:lang w:eastAsia="es-CO"/>
              </w:rPr>
              <w:t>Procedimiento Tributario</w:t>
            </w:r>
          </w:p>
        </w:tc>
      </w:tr>
      <w:tr w:rsidR="004A3665" w:rsidRPr="004A3665" w:rsidTr="004A3665">
        <w:tc>
          <w:tcPr>
            <w:tcW w:w="0" w:type="auto"/>
            <w:tcBorders>
              <w:top w:val="nil"/>
              <w:left w:val="nil"/>
              <w:bottom w:val="nil"/>
              <w:right w:val="nil"/>
            </w:tcBorders>
            <w:shd w:val="clear" w:color="auto" w:fill="auto"/>
            <w:tcMar>
              <w:top w:w="0" w:type="dxa"/>
              <w:left w:w="108" w:type="dxa"/>
              <w:bottom w:w="0" w:type="dxa"/>
              <w:right w:w="108" w:type="dxa"/>
            </w:tcMar>
            <w:hideMark/>
          </w:tcPr>
          <w:p w:rsidR="004A3665" w:rsidRPr="004A3665" w:rsidRDefault="004A3665" w:rsidP="004A3665">
            <w:pPr>
              <w:spacing w:after="0" w:line="240" w:lineRule="auto"/>
              <w:jc w:val="both"/>
              <w:rPr>
                <w:rFonts w:ascii="Times New Roman" w:eastAsia="Times New Roman" w:hAnsi="Times New Roman" w:cs="Times New Roman"/>
                <w:sz w:val="24"/>
                <w:szCs w:val="24"/>
                <w:lang w:eastAsia="es-CO"/>
              </w:rPr>
            </w:pPr>
            <w:r w:rsidRPr="004A3665">
              <w:rPr>
                <w:rFonts w:ascii="Times New Roman" w:eastAsia="Times New Roman" w:hAnsi="Times New Roman" w:cs="Times New Roman"/>
                <w:b/>
                <w:bCs/>
                <w:sz w:val="24"/>
                <w:szCs w:val="24"/>
                <w:lang w:eastAsia="es-CO"/>
              </w:rPr>
              <w:t>Descriptores</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4A3665" w:rsidRPr="004A3665" w:rsidRDefault="004A3665" w:rsidP="004A3665">
            <w:pPr>
              <w:spacing w:after="0" w:line="240" w:lineRule="auto"/>
              <w:rPr>
                <w:rFonts w:ascii="Times New Roman" w:eastAsia="Times New Roman" w:hAnsi="Times New Roman" w:cs="Times New Roman"/>
                <w:sz w:val="24"/>
                <w:szCs w:val="24"/>
                <w:lang w:eastAsia="es-CO"/>
              </w:rPr>
            </w:pPr>
          </w:p>
        </w:tc>
        <w:tc>
          <w:tcPr>
            <w:tcW w:w="0" w:type="auto"/>
            <w:tcBorders>
              <w:top w:val="nil"/>
              <w:left w:val="nil"/>
              <w:bottom w:val="nil"/>
              <w:right w:val="nil"/>
            </w:tcBorders>
            <w:shd w:val="clear" w:color="auto" w:fill="auto"/>
            <w:tcMar>
              <w:top w:w="0" w:type="dxa"/>
              <w:left w:w="108" w:type="dxa"/>
              <w:bottom w:w="0" w:type="dxa"/>
              <w:right w:w="108" w:type="dxa"/>
            </w:tcMar>
            <w:hideMark/>
          </w:tcPr>
          <w:p w:rsidR="004A3665" w:rsidRPr="004A3665" w:rsidRDefault="004A3665" w:rsidP="004A3665">
            <w:pPr>
              <w:spacing w:after="0" w:line="240" w:lineRule="auto"/>
              <w:rPr>
                <w:rFonts w:ascii="Times New Roman" w:eastAsia="Times New Roman" w:hAnsi="Times New Roman" w:cs="Times New Roman"/>
                <w:sz w:val="24"/>
                <w:szCs w:val="24"/>
                <w:lang w:eastAsia="es-CO"/>
              </w:rPr>
            </w:pPr>
          </w:p>
        </w:tc>
        <w:tc>
          <w:tcPr>
            <w:tcW w:w="0" w:type="auto"/>
            <w:tcBorders>
              <w:top w:val="nil"/>
              <w:left w:val="nil"/>
              <w:bottom w:val="nil"/>
              <w:right w:val="nil"/>
            </w:tcBorders>
            <w:shd w:val="clear" w:color="auto" w:fill="auto"/>
            <w:tcMar>
              <w:top w:w="0" w:type="dxa"/>
              <w:left w:w="108" w:type="dxa"/>
              <w:bottom w:w="0" w:type="dxa"/>
              <w:right w:w="108" w:type="dxa"/>
            </w:tcMar>
            <w:hideMark/>
          </w:tcPr>
          <w:p w:rsidR="004A3665" w:rsidRPr="004A3665" w:rsidRDefault="004A3665" w:rsidP="004A3665">
            <w:pPr>
              <w:spacing w:after="0" w:line="240" w:lineRule="auto"/>
              <w:jc w:val="both"/>
              <w:rPr>
                <w:rFonts w:ascii="Times New Roman" w:eastAsia="Times New Roman" w:hAnsi="Times New Roman" w:cs="Times New Roman"/>
                <w:sz w:val="24"/>
                <w:szCs w:val="24"/>
                <w:lang w:eastAsia="es-CO"/>
              </w:rPr>
            </w:pPr>
            <w:r w:rsidRPr="004A3665">
              <w:rPr>
                <w:rFonts w:ascii="Times New Roman" w:eastAsia="Times New Roman" w:hAnsi="Times New Roman" w:cs="Times New Roman"/>
                <w:sz w:val="24"/>
                <w:szCs w:val="24"/>
                <w:lang w:eastAsia="es-CO"/>
              </w:rPr>
              <w:t>Presentación de Declaraciones Tributarias – Plazos</w:t>
            </w:r>
          </w:p>
          <w:p w:rsidR="004A3665" w:rsidRPr="004A3665" w:rsidRDefault="004A3665" w:rsidP="004A3665">
            <w:pPr>
              <w:spacing w:after="0" w:line="240" w:lineRule="auto"/>
              <w:jc w:val="both"/>
              <w:rPr>
                <w:rFonts w:ascii="Times New Roman" w:eastAsia="Times New Roman" w:hAnsi="Times New Roman" w:cs="Times New Roman"/>
                <w:sz w:val="24"/>
                <w:szCs w:val="24"/>
                <w:lang w:eastAsia="es-CO"/>
              </w:rPr>
            </w:pPr>
            <w:r w:rsidRPr="004A3665">
              <w:rPr>
                <w:rFonts w:ascii="Times New Roman" w:eastAsia="Times New Roman" w:hAnsi="Times New Roman" w:cs="Times New Roman"/>
                <w:sz w:val="24"/>
                <w:szCs w:val="24"/>
                <w:lang w:eastAsia="es-CO"/>
              </w:rPr>
              <w:t>Solicitud de Devolución Y/O Compensación</w:t>
            </w:r>
          </w:p>
        </w:tc>
      </w:tr>
      <w:tr w:rsidR="004A3665" w:rsidRPr="004A3665" w:rsidTr="004A3665">
        <w:tc>
          <w:tcPr>
            <w:tcW w:w="0" w:type="auto"/>
            <w:tcBorders>
              <w:top w:val="nil"/>
              <w:left w:val="nil"/>
              <w:bottom w:val="nil"/>
              <w:right w:val="nil"/>
            </w:tcBorders>
            <w:shd w:val="clear" w:color="auto" w:fill="auto"/>
            <w:tcMar>
              <w:top w:w="0" w:type="dxa"/>
              <w:left w:w="108" w:type="dxa"/>
              <w:bottom w:w="0" w:type="dxa"/>
              <w:right w:w="108" w:type="dxa"/>
            </w:tcMar>
            <w:hideMark/>
          </w:tcPr>
          <w:p w:rsidR="004A3665" w:rsidRPr="004A3665" w:rsidRDefault="004A3665" w:rsidP="004A3665">
            <w:pPr>
              <w:spacing w:after="0" w:line="240" w:lineRule="auto"/>
              <w:jc w:val="both"/>
              <w:rPr>
                <w:rFonts w:ascii="Times New Roman" w:eastAsia="Times New Roman" w:hAnsi="Times New Roman" w:cs="Times New Roman"/>
                <w:sz w:val="24"/>
                <w:szCs w:val="24"/>
                <w:lang w:eastAsia="es-CO"/>
              </w:rPr>
            </w:pPr>
            <w:r w:rsidRPr="004A3665">
              <w:rPr>
                <w:rFonts w:ascii="Times New Roman" w:eastAsia="Times New Roman" w:hAnsi="Times New Roman" w:cs="Times New Roman"/>
                <w:b/>
                <w:bCs/>
                <w:sz w:val="24"/>
                <w:szCs w:val="24"/>
                <w:lang w:eastAsia="es-CO"/>
              </w:rPr>
              <w:t>Fuentes formales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4A3665" w:rsidRPr="004A3665" w:rsidRDefault="004A3665" w:rsidP="004A3665">
            <w:pPr>
              <w:spacing w:after="0" w:line="240" w:lineRule="auto"/>
              <w:rPr>
                <w:rFonts w:ascii="Times New Roman" w:eastAsia="Times New Roman" w:hAnsi="Times New Roman" w:cs="Times New Roman"/>
                <w:sz w:val="24"/>
                <w:szCs w:val="24"/>
                <w:lang w:eastAsia="es-CO"/>
              </w:rPr>
            </w:pPr>
          </w:p>
        </w:tc>
        <w:tc>
          <w:tcPr>
            <w:tcW w:w="0" w:type="auto"/>
            <w:tcBorders>
              <w:top w:val="nil"/>
              <w:left w:val="nil"/>
              <w:bottom w:val="nil"/>
              <w:right w:val="nil"/>
            </w:tcBorders>
            <w:shd w:val="clear" w:color="auto" w:fill="auto"/>
            <w:tcMar>
              <w:top w:w="0" w:type="dxa"/>
              <w:left w:w="108" w:type="dxa"/>
              <w:bottom w:w="0" w:type="dxa"/>
              <w:right w:w="108" w:type="dxa"/>
            </w:tcMar>
            <w:hideMark/>
          </w:tcPr>
          <w:p w:rsidR="004A3665" w:rsidRPr="004A3665" w:rsidRDefault="004A3665" w:rsidP="004A3665">
            <w:pPr>
              <w:spacing w:after="0" w:line="240" w:lineRule="auto"/>
              <w:rPr>
                <w:rFonts w:ascii="Times New Roman" w:eastAsia="Times New Roman" w:hAnsi="Times New Roman" w:cs="Times New Roman"/>
                <w:sz w:val="24"/>
                <w:szCs w:val="24"/>
                <w:lang w:eastAsia="es-CO"/>
              </w:rPr>
            </w:pPr>
          </w:p>
        </w:tc>
        <w:tc>
          <w:tcPr>
            <w:tcW w:w="0" w:type="auto"/>
            <w:tcBorders>
              <w:top w:val="nil"/>
              <w:left w:val="nil"/>
              <w:bottom w:val="nil"/>
              <w:right w:val="nil"/>
            </w:tcBorders>
            <w:shd w:val="clear" w:color="auto" w:fill="auto"/>
            <w:tcMar>
              <w:top w:w="0" w:type="dxa"/>
              <w:left w:w="108" w:type="dxa"/>
              <w:bottom w:w="0" w:type="dxa"/>
              <w:right w:w="108" w:type="dxa"/>
            </w:tcMar>
            <w:hideMark/>
          </w:tcPr>
          <w:p w:rsidR="004A3665" w:rsidRPr="004A3665" w:rsidRDefault="004A3665" w:rsidP="004A3665">
            <w:pPr>
              <w:spacing w:after="0" w:line="240" w:lineRule="auto"/>
              <w:jc w:val="both"/>
              <w:rPr>
                <w:rFonts w:ascii="Times New Roman" w:eastAsia="Times New Roman" w:hAnsi="Times New Roman" w:cs="Times New Roman"/>
                <w:sz w:val="24"/>
                <w:szCs w:val="24"/>
                <w:lang w:eastAsia="es-CO"/>
              </w:rPr>
            </w:pPr>
            <w:hyperlink r:id="rId4" w:tooltip="Estatuto Tributario CETA" w:history="1">
              <w:r w:rsidRPr="004A3665">
                <w:rPr>
                  <w:rFonts w:ascii="Times New Roman" w:eastAsia="Times New Roman" w:hAnsi="Times New Roman" w:cs="Times New Roman"/>
                  <w:sz w:val="24"/>
                  <w:szCs w:val="24"/>
                  <w:u w:val="single"/>
                  <w:lang w:eastAsia="es-CO"/>
                </w:rPr>
                <w:t>Artículo 326</w:t>
              </w:r>
            </w:hyperlink>
            <w:r w:rsidRPr="004A3665">
              <w:rPr>
                <w:rFonts w:ascii="Times New Roman" w:eastAsia="Times New Roman" w:hAnsi="Times New Roman" w:cs="Times New Roman"/>
                <w:sz w:val="24"/>
                <w:szCs w:val="24"/>
                <w:lang w:eastAsia="es-CO"/>
              </w:rPr>
              <w:t> del Estatuto Tributario</w:t>
            </w:r>
          </w:p>
          <w:p w:rsidR="004A3665" w:rsidRPr="004A3665" w:rsidRDefault="004A3665" w:rsidP="004A3665">
            <w:pPr>
              <w:spacing w:after="0" w:line="240" w:lineRule="auto"/>
              <w:jc w:val="both"/>
              <w:rPr>
                <w:rFonts w:ascii="Times New Roman" w:eastAsia="Times New Roman" w:hAnsi="Times New Roman" w:cs="Times New Roman"/>
                <w:sz w:val="24"/>
                <w:szCs w:val="24"/>
                <w:lang w:eastAsia="es-CO"/>
              </w:rPr>
            </w:pPr>
            <w:r w:rsidRPr="004A3665">
              <w:rPr>
                <w:rFonts w:ascii="Times New Roman" w:eastAsia="Times New Roman" w:hAnsi="Times New Roman" w:cs="Times New Roman"/>
                <w:sz w:val="24"/>
                <w:szCs w:val="24"/>
                <w:lang w:eastAsia="es-CO"/>
              </w:rPr>
              <w:t>Artículo 1.6.1.13.2.19. del Decreto 1625 de 2016</w:t>
            </w:r>
          </w:p>
          <w:p w:rsidR="004A3665" w:rsidRPr="004A3665" w:rsidRDefault="004A3665" w:rsidP="004A3665">
            <w:pPr>
              <w:spacing w:after="0" w:line="240" w:lineRule="auto"/>
              <w:jc w:val="both"/>
              <w:rPr>
                <w:rFonts w:ascii="Times New Roman" w:eastAsia="Times New Roman" w:hAnsi="Times New Roman" w:cs="Times New Roman"/>
                <w:sz w:val="24"/>
                <w:szCs w:val="24"/>
                <w:lang w:eastAsia="es-CO"/>
              </w:rPr>
            </w:pPr>
            <w:r w:rsidRPr="004A3665">
              <w:rPr>
                <w:rFonts w:ascii="Times New Roman" w:eastAsia="Times New Roman" w:hAnsi="Times New Roman" w:cs="Times New Roman"/>
                <w:sz w:val="24"/>
                <w:szCs w:val="24"/>
                <w:lang w:eastAsia="es-CO"/>
              </w:rPr>
              <w:t>Concepto No. 019871 de 2002</w:t>
            </w:r>
          </w:p>
          <w:p w:rsidR="004A3665" w:rsidRPr="004A3665" w:rsidRDefault="004A3665" w:rsidP="004A3665">
            <w:pPr>
              <w:spacing w:after="0" w:line="240" w:lineRule="auto"/>
              <w:jc w:val="both"/>
              <w:rPr>
                <w:rFonts w:ascii="Times New Roman" w:eastAsia="Times New Roman" w:hAnsi="Times New Roman" w:cs="Times New Roman"/>
                <w:sz w:val="24"/>
                <w:szCs w:val="24"/>
                <w:lang w:eastAsia="es-CO"/>
              </w:rPr>
            </w:pPr>
            <w:r w:rsidRPr="004A3665">
              <w:rPr>
                <w:rFonts w:ascii="Times New Roman" w:eastAsia="Times New Roman" w:hAnsi="Times New Roman" w:cs="Times New Roman"/>
                <w:sz w:val="24"/>
                <w:szCs w:val="24"/>
                <w:lang w:eastAsia="es-CO"/>
              </w:rPr>
              <w:t>Concepto No. 000190 de 2015</w:t>
            </w:r>
          </w:p>
        </w:tc>
      </w:tr>
    </w:tbl>
    <w:p w:rsidR="004A3665" w:rsidRPr="004A3665" w:rsidRDefault="004A3665" w:rsidP="004A3665">
      <w:pPr>
        <w:spacing w:after="0" w:line="240" w:lineRule="auto"/>
        <w:jc w:val="both"/>
        <w:rPr>
          <w:rFonts w:ascii="Times New Roman" w:eastAsia="Times New Roman" w:hAnsi="Times New Roman" w:cs="Times New Roman"/>
          <w:sz w:val="24"/>
          <w:szCs w:val="24"/>
          <w:lang w:eastAsia="es-CO"/>
        </w:rPr>
      </w:pPr>
      <w:r w:rsidRPr="004A3665">
        <w:rPr>
          <w:rFonts w:ascii="Times New Roman" w:eastAsia="Times New Roman" w:hAnsi="Times New Roman" w:cs="Times New Roman"/>
          <w:sz w:val="24"/>
          <w:szCs w:val="24"/>
          <w:lang w:eastAsia="es-CO"/>
        </w:rPr>
        <w:t> </w:t>
      </w:r>
    </w:p>
    <w:p w:rsidR="004A3665" w:rsidRPr="004A3665" w:rsidRDefault="004A3665" w:rsidP="004A3665">
      <w:pPr>
        <w:spacing w:after="0" w:line="240" w:lineRule="auto"/>
        <w:jc w:val="both"/>
        <w:rPr>
          <w:rFonts w:ascii="Times New Roman" w:eastAsia="Times New Roman" w:hAnsi="Times New Roman" w:cs="Times New Roman"/>
          <w:sz w:val="24"/>
          <w:szCs w:val="24"/>
          <w:lang w:eastAsia="es-CO"/>
        </w:rPr>
      </w:pPr>
      <w:r w:rsidRPr="004A3665">
        <w:rPr>
          <w:rFonts w:ascii="Times New Roman" w:eastAsia="Times New Roman" w:hAnsi="Times New Roman" w:cs="Times New Roman"/>
          <w:sz w:val="24"/>
          <w:szCs w:val="24"/>
          <w:lang w:eastAsia="es-CO"/>
        </w:rPr>
        <w:t> </w:t>
      </w:r>
    </w:p>
    <w:p w:rsidR="004A3665" w:rsidRPr="004A3665" w:rsidRDefault="004A3665" w:rsidP="004A3665">
      <w:pPr>
        <w:spacing w:after="0" w:line="240" w:lineRule="auto"/>
        <w:jc w:val="both"/>
        <w:rPr>
          <w:rFonts w:ascii="Times New Roman" w:eastAsia="Times New Roman" w:hAnsi="Times New Roman" w:cs="Times New Roman"/>
          <w:sz w:val="24"/>
          <w:szCs w:val="24"/>
          <w:lang w:eastAsia="es-CO"/>
        </w:rPr>
      </w:pPr>
      <w:r w:rsidRPr="004A3665">
        <w:rPr>
          <w:rFonts w:ascii="Times New Roman" w:eastAsia="Times New Roman" w:hAnsi="Times New Roman" w:cs="Times New Roman"/>
          <w:sz w:val="24"/>
          <w:szCs w:val="24"/>
          <w:lang w:eastAsia="es-CO"/>
        </w:rPr>
        <w:t xml:space="preserve">Estimado señor </w:t>
      </w:r>
      <w:proofErr w:type="spellStart"/>
      <w:r w:rsidRPr="004A3665">
        <w:rPr>
          <w:rFonts w:ascii="Times New Roman" w:eastAsia="Times New Roman" w:hAnsi="Times New Roman" w:cs="Times New Roman"/>
          <w:sz w:val="24"/>
          <w:szCs w:val="24"/>
          <w:lang w:eastAsia="es-CO"/>
        </w:rPr>
        <w:t>Baum</w:t>
      </w:r>
      <w:proofErr w:type="spellEnd"/>
      <w:r w:rsidRPr="004A3665">
        <w:rPr>
          <w:rFonts w:ascii="Times New Roman" w:eastAsia="Times New Roman" w:hAnsi="Times New Roman" w:cs="Times New Roman"/>
          <w:sz w:val="24"/>
          <w:szCs w:val="24"/>
          <w:lang w:eastAsia="es-CO"/>
        </w:rPr>
        <w:t>:</w:t>
      </w:r>
    </w:p>
    <w:p w:rsidR="004A3665" w:rsidRPr="004A3665" w:rsidRDefault="004A3665" w:rsidP="004A3665">
      <w:pPr>
        <w:spacing w:after="0" w:line="240" w:lineRule="auto"/>
        <w:jc w:val="both"/>
        <w:rPr>
          <w:rFonts w:ascii="Times New Roman" w:eastAsia="Times New Roman" w:hAnsi="Times New Roman" w:cs="Times New Roman"/>
          <w:sz w:val="24"/>
          <w:szCs w:val="24"/>
          <w:lang w:eastAsia="es-CO"/>
        </w:rPr>
      </w:pPr>
      <w:r w:rsidRPr="004A3665">
        <w:rPr>
          <w:rFonts w:ascii="Times New Roman" w:eastAsia="Times New Roman" w:hAnsi="Times New Roman" w:cs="Times New Roman"/>
          <w:sz w:val="24"/>
          <w:szCs w:val="24"/>
          <w:lang w:eastAsia="es-CO"/>
        </w:rPr>
        <w:t> </w:t>
      </w:r>
    </w:p>
    <w:p w:rsidR="004A3665" w:rsidRPr="004A3665" w:rsidRDefault="004A3665" w:rsidP="004A3665">
      <w:pPr>
        <w:spacing w:after="0" w:line="240" w:lineRule="auto"/>
        <w:jc w:val="both"/>
        <w:rPr>
          <w:rFonts w:ascii="Times New Roman" w:eastAsia="Times New Roman" w:hAnsi="Times New Roman" w:cs="Times New Roman"/>
          <w:sz w:val="24"/>
          <w:szCs w:val="24"/>
          <w:lang w:eastAsia="es-CO"/>
        </w:rPr>
      </w:pPr>
      <w:r w:rsidRPr="004A3665">
        <w:rPr>
          <w:rFonts w:ascii="Times New Roman" w:eastAsia="Times New Roman" w:hAnsi="Times New Roman" w:cs="Times New Roman"/>
          <w:sz w:val="24"/>
          <w:szCs w:val="24"/>
          <w:lang w:eastAsia="es-CO"/>
        </w:rPr>
        <w:t>De conformidad con lo preceptuado en el artículo 20 del Decreto 4048 de 2008 este Despacho está facultado para resolver las consultas que se formulen sobre la interpretación y aplicación de las normas tributarias, aduaneras y cambiarias, en el marco de la competencia asignada a la Dirección de Impuestos y Aduanas Nacionales.</w:t>
      </w:r>
    </w:p>
    <w:p w:rsidR="004A3665" w:rsidRPr="004A3665" w:rsidRDefault="004A3665" w:rsidP="004A3665">
      <w:pPr>
        <w:spacing w:after="0" w:line="240" w:lineRule="auto"/>
        <w:jc w:val="both"/>
        <w:rPr>
          <w:rFonts w:ascii="Times New Roman" w:eastAsia="Times New Roman" w:hAnsi="Times New Roman" w:cs="Times New Roman"/>
          <w:sz w:val="24"/>
          <w:szCs w:val="24"/>
          <w:lang w:eastAsia="es-CO"/>
        </w:rPr>
      </w:pPr>
      <w:r w:rsidRPr="004A3665">
        <w:rPr>
          <w:rFonts w:ascii="Times New Roman" w:eastAsia="Times New Roman" w:hAnsi="Times New Roman" w:cs="Times New Roman"/>
          <w:sz w:val="24"/>
          <w:szCs w:val="24"/>
          <w:lang w:eastAsia="es-CO"/>
        </w:rPr>
        <w:t> </w:t>
      </w:r>
    </w:p>
    <w:p w:rsidR="004A3665" w:rsidRPr="004A3665" w:rsidRDefault="004A3665" w:rsidP="004A3665">
      <w:pPr>
        <w:spacing w:after="0" w:line="240" w:lineRule="auto"/>
        <w:jc w:val="both"/>
        <w:rPr>
          <w:rFonts w:ascii="Times New Roman" w:eastAsia="Times New Roman" w:hAnsi="Times New Roman" w:cs="Times New Roman"/>
          <w:sz w:val="24"/>
          <w:szCs w:val="24"/>
          <w:lang w:eastAsia="es-CO"/>
        </w:rPr>
      </w:pPr>
      <w:r w:rsidRPr="004A3665">
        <w:rPr>
          <w:rFonts w:ascii="Times New Roman" w:eastAsia="Times New Roman" w:hAnsi="Times New Roman" w:cs="Times New Roman"/>
          <w:sz w:val="24"/>
          <w:szCs w:val="24"/>
          <w:lang w:eastAsia="es-CO"/>
        </w:rPr>
        <w:t>Previo a analizar la consulta planteada, consideramos necesario explicar que, de acuerdo con las competencias funcionales de este despacho los pronunciamientos emitidos en respuesta a peticiones allegadas se resuelven con base a criterios legales de interpretación de las normas jurídicas, los cuales se encuentran consagrados en el Código Civil.</w:t>
      </w:r>
    </w:p>
    <w:p w:rsidR="004A3665" w:rsidRPr="004A3665" w:rsidRDefault="004A3665" w:rsidP="004A3665">
      <w:pPr>
        <w:spacing w:after="0" w:line="240" w:lineRule="auto"/>
        <w:jc w:val="both"/>
        <w:rPr>
          <w:rFonts w:ascii="Times New Roman" w:eastAsia="Times New Roman" w:hAnsi="Times New Roman" w:cs="Times New Roman"/>
          <w:sz w:val="24"/>
          <w:szCs w:val="24"/>
          <w:lang w:eastAsia="es-CO"/>
        </w:rPr>
      </w:pPr>
      <w:r w:rsidRPr="004A3665">
        <w:rPr>
          <w:rFonts w:ascii="Times New Roman" w:eastAsia="Times New Roman" w:hAnsi="Times New Roman" w:cs="Times New Roman"/>
          <w:sz w:val="24"/>
          <w:szCs w:val="24"/>
          <w:lang w:eastAsia="es-CO"/>
        </w:rPr>
        <w:t> </w:t>
      </w:r>
    </w:p>
    <w:p w:rsidR="004A3665" w:rsidRPr="004A3665" w:rsidRDefault="004A3665" w:rsidP="004A3665">
      <w:pPr>
        <w:spacing w:after="0" w:line="240" w:lineRule="auto"/>
        <w:jc w:val="both"/>
        <w:rPr>
          <w:rFonts w:ascii="Times New Roman" w:eastAsia="Times New Roman" w:hAnsi="Times New Roman" w:cs="Times New Roman"/>
          <w:sz w:val="24"/>
          <w:szCs w:val="24"/>
          <w:lang w:eastAsia="es-CO"/>
        </w:rPr>
      </w:pPr>
      <w:r w:rsidRPr="004A3665">
        <w:rPr>
          <w:rFonts w:ascii="Times New Roman" w:eastAsia="Times New Roman" w:hAnsi="Times New Roman" w:cs="Times New Roman"/>
          <w:sz w:val="24"/>
          <w:szCs w:val="24"/>
          <w:lang w:eastAsia="es-CO"/>
        </w:rPr>
        <w:t>Así mismo, las respuestas emitidas son una adecuación en abstracto de las normas vigentes a situaciones concretas, las cuales no tienen como fin solucionar problemáticas individuales, ni juzgar, valorar o asesorar a otras dependencias, entidades públicas y/o privadas en el desarrollo de sus actividades, funciones y competencias.</w:t>
      </w:r>
    </w:p>
    <w:p w:rsidR="004A3665" w:rsidRPr="004A3665" w:rsidRDefault="004A3665" w:rsidP="004A3665">
      <w:pPr>
        <w:spacing w:after="0" w:line="240" w:lineRule="auto"/>
        <w:jc w:val="both"/>
        <w:rPr>
          <w:rFonts w:ascii="Times New Roman" w:eastAsia="Times New Roman" w:hAnsi="Times New Roman" w:cs="Times New Roman"/>
          <w:sz w:val="24"/>
          <w:szCs w:val="24"/>
          <w:lang w:eastAsia="es-CO"/>
        </w:rPr>
      </w:pPr>
      <w:r w:rsidRPr="004A3665">
        <w:rPr>
          <w:rFonts w:ascii="Times New Roman" w:eastAsia="Times New Roman" w:hAnsi="Times New Roman" w:cs="Times New Roman"/>
          <w:sz w:val="24"/>
          <w:szCs w:val="24"/>
          <w:lang w:eastAsia="es-CO"/>
        </w:rPr>
        <w:t> </w:t>
      </w:r>
    </w:p>
    <w:p w:rsidR="004A3665" w:rsidRPr="004A3665" w:rsidRDefault="004A3665" w:rsidP="004A3665">
      <w:pPr>
        <w:spacing w:after="0" w:line="240" w:lineRule="auto"/>
        <w:jc w:val="both"/>
        <w:rPr>
          <w:rFonts w:ascii="Times New Roman" w:eastAsia="Times New Roman" w:hAnsi="Times New Roman" w:cs="Times New Roman"/>
          <w:sz w:val="24"/>
          <w:szCs w:val="24"/>
          <w:lang w:eastAsia="es-CO"/>
        </w:rPr>
      </w:pPr>
      <w:r w:rsidRPr="004A3665">
        <w:rPr>
          <w:rFonts w:ascii="Times New Roman" w:eastAsia="Times New Roman" w:hAnsi="Times New Roman" w:cs="Times New Roman"/>
          <w:sz w:val="24"/>
          <w:szCs w:val="24"/>
          <w:lang w:eastAsia="es-CO"/>
        </w:rPr>
        <w:t>Mediante escrito radicado 100045542 del 7 de julio de dos mil diecinueve (2019) esta Subdirección recibió una consulta por medio de la cual se solicita aclarar las siguientes inquietudes relacionadas con la sustitución o cancelación de la inversión extranjera directa, así como la inadmisión de la solicitud de devolución por vencimiento de presupuestos formales:</w:t>
      </w:r>
    </w:p>
    <w:p w:rsidR="004A3665" w:rsidRPr="004A3665" w:rsidRDefault="004A3665" w:rsidP="004A3665">
      <w:pPr>
        <w:spacing w:after="0" w:line="240" w:lineRule="auto"/>
        <w:ind w:left="284"/>
        <w:jc w:val="both"/>
        <w:rPr>
          <w:rFonts w:ascii="Times New Roman" w:eastAsia="Times New Roman" w:hAnsi="Times New Roman" w:cs="Times New Roman"/>
          <w:sz w:val="24"/>
          <w:szCs w:val="24"/>
          <w:lang w:eastAsia="es-CO"/>
        </w:rPr>
      </w:pPr>
      <w:r w:rsidRPr="004A3665">
        <w:rPr>
          <w:rFonts w:ascii="Times New Roman" w:eastAsia="Times New Roman" w:hAnsi="Times New Roman" w:cs="Times New Roman"/>
          <w:sz w:val="24"/>
          <w:szCs w:val="24"/>
          <w:lang w:eastAsia="es-CO"/>
        </w:rPr>
        <w:t> </w:t>
      </w:r>
    </w:p>
    <w:p w:rsidR="004A3665" w:rsidRPr="004A3665" w:rsidRDefault="004A3665" w:rsidP="004A3665">
      <w:pPr>
        <w:spacing w:after="0" w:line="240" w:lineRule="auto"/>
        <w:ind w:left="284"/>
        <w:jc w:val="both"/>
        <w:rPr>
          <w:rFonts w:ascii="Times New Roman" w:eastAsia="Times New Roman" w:hAnsi="Times New Roman" w:cs="Times New Roman"/>
          <w:b/>
          <w:bCs/>
          <w:sz w:val="24"/>
          <w:szCs w:val="24"/>
          <w:u w:val="single"/>
          <w:lang w:eastAsia="es-CO"/>
        </w:rPr>
      </w:pPr>
      <w:r w:rsidRPr="004A3665">
        <w:rPr>
          <w:rFonts w:ascii="Times New Roman" w:eastAsia="Times New Roman" w:hAnsi="Times New Roman" w:cs="Times New Roman"/>
          <w:sz w:val="24"/>
          <w:szCs w:val="24"/>
          <w:lang w:eastAsia="es-CO"/>
        </w:rPr>
        <w:lastRenderedPageBreak/>
        <w:t>"</w:t>
      </w:r>
      <w:r w:rsidRPr="004A3665">
        <w:rPr>
          <w:rFonts w:ascii="Times New Roman" w:eastAsia="Times New Roman" w:hAnsi="Times New Roman" w:cs="Times New Roman"/>
          <w:b/>
          <w:bCs/>
          <w:sz w:val="24"/>
          <w:szCs w:val="24"/>
          <w:lang w:eastAsia="es-CO"/>
        </w:rPr>
        <w:t>1. ¿Para efectos fiscales cuándo se entiende que se realizó el cambio de titular de la inversión extranjera en la venta de bienes inmuebles? ¿</w:t>
      </w:r>
      <w:r w:rsidRPr="004A3665">
        <w:rPr>
          <w:rFonts w:ascii="Times New Roman" w:eastAsia="Times New Roman" w:hAnsi="Times New Roman" w:cs="Times New Roman"/>
          <w:b/>
          <w:bCs/>
          <w:sz w:val="24"/>
          <w:szCs w:val="24"/>
          <w:u w:val="single"/>
          <w:lang w:eastAsia="es-CO"/>
        </w:rPr>
        <w:t>En la fecha de la escritura pública o en la fecha de registro de la escritura pública ante la Oficina de Registro de Instrumentos Públicos?</w:t>
      </w:r>
    </w:p>
    <w:p w:rsidR="004A3665" w:rsidRPr="004A3665" w:rsidRDefault="004A3665" w:rsidP="004A3665">
      <w:pPr>
        <w:spacing w:after="0" w:line="240" w:lineRule="auto"/>
        <w:ind w:left="284"/>
        <w:jc w:val="both"/>
        <w:rPr>
          <w:rFonts w:ascii="Times New Roman" w:eastAsia="Times New Roman" w:hAnsi="Times New Roman" w:cs="Times New Roman"/>
          <w:sz w:val="24"/>
          <w:szCs w:val="24"/>
          <w:u w:val="single"/>
          <w:lang w:eastAsia="es-CO"/>
        </w:rPr>
      </w:pPr>
    </w:p>
    <w:p w:rsidR="004A3665" w:rsidRPr="004A3665" w:rsidRDefault="004A3665" w:rsidP="004A3665">
      <w:pPr>
        <w:spacing w:after="0" w:line="240" w:lineRule="auto"/>
        <w:ind w:left="284"/>
        <w:jc w:val="both"/>
        <w:rPr>
          <w:rFonts w:ascii="Times New Roman" w:eastAsia="Times New Roman" w:hAnsi="Times New Roman" w:cs="Times New Roman"/>
          <w:b/>
          <w:bCs/>
          <w:sz w:val="24"/>
          <w:szCs w:val="24"/>
          <w:u w:val="single"/>
          <w:lang w:eastAsia="es-CO"/>
        </w:rPr>
      </w:pPr>
      <w:r w:rsidRPr="004A3665">
        <w:rPr>
          <w:rFonts w:ascii="Times New Roman" w:eastAsia="Times New Roman" w:hAnsi="Times New Roman" w:cs="Times New Roman"/>
          <w:b/>
          <w:bCs/>
          <w:sz w:val="24"/>
          <w:szCs w:val="24"/>
          <w:lang w:eastAsia="es-CO"/>
        </w:rPr>
        <w:t xml:space="preserve">2. Con base en la respuesta a la pregunta anterior, ¿desde cuándo empieza a contar el plazo de un mes del que habla el artículo 1.6.1.13.2.19. del Decreto 1625 de 2016 con el que cuenta el contribuyente para presentar la declaración de renta por el cambio de la titularidad de la inversión extranjera? </w:t>
      </w:r>
      <w:r w:rsidRPr="004A3665">
        <w:rPr>
          <w:rFonts w:ascii="Times New Roman" w:eastAsia="Times New Roman" w:hAnsi="Times New Roman" w:cs="Times New Roman"/>
          <w:b/>
          <w:bCs/>
          <w:sz w:val="24"/>
          <w:szCs w:val="24"/>
          <w:u w:val="single"/>
          <w:lang w:eastAsia="es-CO"/>
        </w:rPr>
        <w:t>¿Se cuenta desde que el notario otorga la escritura pública o desde que se inscribe el respectivo título en la Oficina de Registro de Instrumentos Públicos?</w:t>
      </w:r>
    </w:p>
    <w:p w:rsidR="004A3665" w:rsidRPr="004A3665" w:rsidRDefault="004A3665" w:rsidP="004A3665">
      <w:pPr>
        <w:spacing w:after="0" w:line="240" w:lineRule="auto"/>
        <w:ind w:left="284"/>
        <w:jc w:val="both"/>
        <w:rPr>
          <w:rFonts w:ascii="Times New Roman" w:eastAsia="Times New Roman" w:hAnsi="Times New Roman" w:cs="Times New Roman"/>
          <w:sz w:val="24"/>
          <w:szCs w:val="24"/>
          <w:lang w:eastAsia="es-CO"/>
        </w:rPr>
      </w:pPr>
    </w:p>
    <w:p w:rsidR="004A3665" w:rsidRPr="004A3665" w:rsidRDefault="004A3665" w:rsidP="004A3665">
      <w:pPr>
        <w:spacing w:after="0" w:line="240" w:lineRule="auto"/>
        <w:ind w:left="284"/>
        <w:jc w:val="both"/>
        <w:rPr>
          <w:rFonts w:ascii="Times New Roman" w:eastAsia="Times New Roman" w:hAnsi="Times New Roman" w:cs="Times New Roman"/>
          <w:sz w:val="24"/>
          <w:szCs w:val="24"/>
          <w:lang w:eastAsia="es-CO"/>
        </w:rPr>
      </w:pPr>
      <w:r w:rsidRPr="004A3665">
        <w:rPr>
          <w:rFonts w:ascii="Times New Roman" w:eastAsia="Times New Roman" w:hAnsi="Times New Roman" w:cs="Times New Roman"/>
          <w:sz w:val="24"/>
          <w:szCs w:val="24"/>
          <w:lang w:eastAsia="es-CO"/>
        </w:rPr>
        <w:t>3. ¿Se encuentra vigente la interpretación expuesta en el Concepto 190 de 2015, según la cual</w:t>
      </w:r>
      <w:r w:rsidRPr="004A3665">
        <w:rPr>
          <w:rFonts w:ascii="Times New Roman" w:eastAsia="Times New Roman" w:hAnsi="Times New Roman" w:cs="Times New Roman"/>
          <w:i/>
          <w:iCs/>
          <w:sz w:val="24"/>
          <w:szCs w:val="24"/>
          <w:lang w:eastAsia="es-CO"/>
        </w:rPr>
        <w:t>, "no procederá una nueva inadmisión si se incumplió con uno de los presupuestos formales que inicialmente se encontraba cumplido, como en el caso de las certificaciones (por ejemplo: la certificación b</w:t>
      </w:r>
      <w:bookmarkStart w:id="0" w:name="_GoBack"/>
      <w:bookmarkEnd w:id="0"/>
      <w:r w:rsidRPr="004A3665">
        <w:rPr>
          <w:rFonts w:ascii="Times New Roman" w:eastAsia="Times New Roman" w:hAnsi="Times New Roman" w:cs="Times New Roman"/>
          <w:i/>
          <w:iCs/>
          <w:sz w:val="24"/>
          <w:szCs w:val="24"/>
          <w:lang w:eastAsia="es-CO"/>
        </w:rPr>
        <w:t>ancaria, certificado de Cámara de Comercio)”?</w:t>
      </w:r>
    </w:p>
    <w:p w:rsidR="004A3665" w:rsidRPr="004A3665" w:rsidRDefault="004A3665" w:rsidP="004A3665">
      <w:pPr>
        <w:spacing w:after="0" w:line="240" w:lineRule="auto"/>
        <w:jc w:val="both"/>
        <w:rPr>
          <w:rFonts w:ascii="Times New Roman" w:eastAsia="Times New Roman" w:hAnsi="Times New Roman" w:cs="Times New Roman"/>
          <w:sz w:val="24"/>
          <w:szCs w:val="24"/>
          <w:lang w:eastAsia="es-CO"/>
        </w:rPr>
      </w:pPr>
      <w:r w:rsidRPr="004A3665">
        <w:rPr>
          <w:rFonts w:ascii="Times New Roman" w:eastAsia="Times New Roman" w:hAnsi="Times New Roman" w:cs="Times New Roman"/>
          <w:sz w:val="24"/>
          <w:szCs w:val="24"/>
          <w:lang w:eastAsia="es-CO"/>
        </w:rPr>
        <w:t> </w:t>
      </w:r>
    </w:p>
    <w:p w:rsidR="004A3665" w:rsidRPr="004A3665" w:rsidRDefault="004A3665" w:rsidP="004A3665">
      <w:pPr>
        <w:spacing w:after="0" w:line="240" w:lineRule="auto"/>
        <w:jc w:val="both"/>
        <w:rPr>
          <w:rFonts w:ascii="Times New Roman" w:eastAsia="Times New Roman" w:hAnsi="Times New Roman" w:cs="Times New Roman"/>
          <w:sz w:val="24"/>
          <w:szCs w:val="24"/>
          <w:lang w:eastAsia="es-CO"/>
        </w:rPr>
      </w:pPr>
      <w:r w:rsidRPr="004A3665">
        <w:rPr>
          <w:rFonts w:ascii="Times New Roman" w:eastAsia="Times New Roman" w:hAnsi="Times New Roman" w:cs="Times New Roman"/>
          <w:sz w:val="24"/>
          <w:szCs w:val="24"/>
          <w:lang w:eastAsia="es-CO"/>
        </w:rPr>
        <w:t>En atención a las consultas, se procede a analizar las siguientes consideraciones tributarias:</w:t>
      </w:r>
    </w:p>
    <w:p w:rsidR="004A3665" w:rsidRPr="004A3665" w:rsidRDefault="004A3665" w:rsidP="004A3665">
      <w:pPr>
        <w:spacing w:after="0" w:line="240" w:lineRule="auto"/>
        <w:jc w:val="both"/>
        <w:rPr>
          <w:rFonts w:ascii="Times New Roman" w:eastAsia="Times New Roman" w:hAnsi="Times New Roman" w:cs="Times New Roman"/>
          <w:sz w:val="24"/>
          <w:szCs w:val="24"/>
          <w:lang w:eastAsia="es-CO"/>
        </w:rPr>
      </w:pPr>
      <w:r w:rsidRPr="004A3665">
        <w:rPr>
          <w:rFonts w:ascii="Times New Roman" w:eastAsia="Times New Roman" w:hAnsi="Times New Roman" w:cs="Times New Roman"/>
          <w:sz w:val="24"/>
          <w:szCs w:val="24"/>
          <w:lang w:eastAsia="es-CO"/>
        </w:rPr>
        <w:t> </w:t>
      </w:r>
    </w:p>
    <w:p w:rsidR="004A3665" w:rsidRPr="004A3665" w:rsidRDefault="004A3665" w:rsidP="004A3665">
      <w:pPr>
        <w:spacing w:after="0" w:line="240" w:lineRule="auto"/>
        <w:jc w:val="both"/>
        <w:rPr>
          <w:rFonts w:ascii="Times New Roman" w:eastAsia="Times New Roman" w:hAnsi="Times New Roman" w:cs="Times New Roman"/>
          <w:sz w:val="24"/>
          <w:szCs w:val="24"/>
          <w:lang w:eastAsia="es-CO"/>
        </w:rPr>
      </w:pPr>
      <w:r w:rsidRPr="004A3665">
        <w:rPr>
          <w:rFonts w:ascii="Times New Roman" w:eastAsia="Times New Roman" w:hAnsi="Times New Roman" w:cs="Times New Roman"/>
          <w:b/>
          <w:bCs/>
          <w:sz w:val="24"/>
          <w:szCs w:val="24"/>
          <w:lang w:eastAsia="es-CO"/>
        </w:rPr>
        <w:t>1. Cuándo empieza a contar el plazo de un mes para presentar la declaración por sustitución o cancelación de la inversión extranjera directa en el caso de bienes inmuebles:</w:t>
      </w:r>
    </w:p>
    <w:p w:rsidR="004A3665" w:rsidRPr="004A3665" w:rsidRDefault="004A3665" w:rsidP="004A3665">
      <w:pPr>
        <w:spacing w:after="0" w:line="240" w:lineRule="auto"/>
        <w:jc w:val="both"/>
        <w:rPr>
          <w:rFonts w:ascii="Times New Roman" w:eastAsia="Times New Roman" w:hAnsi="Times New Roman" w:cs="Times New Roman"/>
          <w:sz w:val="24"/>
          <w:szCs w:val="24"/>
          <w:lang w:eastAsia="es-CO"/>
        </w:rPr>
      </w:pPr>
      <w:r w:rsidRPr="004A3665">
        <w:rPr>
          <w:rFonts w:ascii="Times New Roman" w:eastAsia="Times New Roman" w:hAnsi="Times New Roman" w:cs="Times New Roman"/>
          <w:sz w:val="24"/>
          <w:szCs w:val="24"/>
          <w:lang w:eastAsia="es-CO"/>
        </w:rPr>
        <w:t> </w:t>
      </w:r>
    </w:p>
    <w:p w:rsidR="004A3665" w:rsidRPr="004A3665" w:rsidRDefault="004A3665" w:rsidP="004A3665">
      <w:pPr>
        <w:spacing w:after="0" w:line="240" w:lineRule="auto"/>
        <w:jc w:val="both"/>
        <w:rPr>
          <w:rFonts w:ascii="Times New Roman" w:eastAsia="Times New Roman" w:hAnsi="Times New Roman" w:cs="Times New Roman"/>
          <w:sz w:val="24"/>
          <w:szCs w:val="24"/>
          <w:lang w:eastAsia="es-CO"/>
        </w:rPr>
      </w:pPr>
      <w:r w:rsidRPr="004A3665">
        <w:rPr>
          <w:rFonts w:ascii="Times New Roman" w:eastAsia="Times New Roman" w:hAnsi="Times New Roman" w:cs="Times New Roman"/>
          <w:sz w:val="24"/>
          <w:szCs w:val="24"/>
          <w:lang w:eastAsia="es-CO"/>
        </w:rPr>
        <w:t>1.1. El artículo 1.6.1.13.2.19. del Decreto 1625 de 2016 establece que:</w:t>
      </w:r>
    </w:p>
    <w:p w:rsidR="004A3665" w:rsidRPr="004A3665" w:rsidRDefault="004A3665" w:rsidP="004A3665">
      <w:pPr>
        <w:spacing w:after="0" w:line="240" w:lineRule="auto"/>
        <w:ind w:left="284"/>
        <w:jc w:val="both"/>
        <w:rPr>
          <w:rFonts w:ascii="Times New Roman" w:eastAsia="Times New Roman" w:hAnsi="Times New Roman" w:cs="Times New Roman"/>
          <w:sz w:val="24"/>
          <w:szCs w:val="24"/>
          <w:lang w:eastAsia="es-CO"/>
        </w:rPr>
      </w:pPr>
      <w:r w:rsidRPr="004A3665">
        <w:rPr>
          <w:rFonts w:ascii="Times New Roman" w:eastAsia="Times New Roman" w:hAnsi="Times New Roman" w:cs="Times New Roman"/>
          <w:sz w:val="24"/>
          <w:szCs w:val="24"/>
          <w:lang w:eastAsia="es-CO"/>
        </w:rPr>
        <w:t> </w:t>
      </w:r>
    </w:p>
    <w:p w:rsidR="004A3665" w:rsidRPr="004A3665" w:rsidRDefault="004A3665" w:rsidP="004A3665">
      <w:pPr>
        <w:spacing w:after="0" w:line="240" w:lineRule="auto"/>
        <w:ind w:left="284"/>
        <w:jc w:val="both"/>
        <w:rPr>
          <w:rFonts w:ascii="Times New Roman" w:eastAsia="Times New Roman" w:hAnsi="Times New Roman" w:cs="Times New Roman"/>
          <w:sz w:val="24"/>
          <w:szCs w:val="24"/>
          <w:lang w:eastAsia="es-CO"/>
        </w:rPr>
      </w:pPr>
      <w:r w:rsidRPr="004A3665">
        <w:rPr>
          <w:rFonts w:ascii="Times New Roman" w:eastAsia="Times New Roman" w:hAnsi="Times New Roman" w:cs="Times New Roman"/>
          <w:i/>
          <w:iCs/>
          <w:sz w:val="24"/>
          <w:szCs w:val="24"/>
          <w:lang w:eastAsia="es-CO"/>
        </w:rPr>
        <w:t>"</w:t>
      </w:r>
      <w:r w:rsidRPr="004A3665">
        <w:rPr>
          <w:rFonts w:ascii="Times New Roman" w:eastAsia="Times New Roman" w:hAnsi="Times New Roman" w:cs="Times New Roman"/>
          <w:b/>
          <w:bCs/>
          <w:i/>
          <w:iCs/>
          <w:sz w:val="24"/>
          <w:szCs w:val="24"/>
          <w:lang w:eastAsia="es-CO"/>
        </w:rPr>
        <w:t>Artículo 1.6.1.13.2.19. Declaración por cambio de titular la inversión extranjera. </w:t>
      </w:r>
      <w:r w:rsidRPr="004A3665">
        <w:rPr>
          <w:rFonts w:ascii="Times New Roman" w:eastAsia="Times New Roman" w:hAnsi="Times New Roman" w:cs="Times New Roman"/>
          <w:i/>
          <w:iCs/>
          <w:sz w:val="24"/>
          <w:szCs w:val="24"/>
          <w:lang w:eastAsia="es-CO"/>
        </w:rPr>
        <w:t>El titular de la inversión extranjera</w:t>
      </w:r>
      <w:r w:rsidRPr="004A3665">
        <w:rPr>
          <w:rFonts w:ascii="Times New Roman" w:eastAsia="Times New Roman" w:hAnsi="Times New Roman" w:cs="Times New Roman"/>
          <w:b/>
          <w:bCs/>
          <w:i/>
          <w:iCs/>
          <w:sz w:val="24"/>
          <w:szCs w:val="24"/>
          <w:lang w:eastAsia="es-CO"/>
        </w:rPr>
        <w:t> </w:t>
      </w:r>
      <w:r w:rsidRPr="004A3665">
        <w:rPr>
          <w:rFonts w:ascii="Times New Roman" w:eastAsia="Times New Roman" w:hAnsi="Times New Roman" w:cs="Times New Roman"/>
          <w:i/>
          <w:iCs/>
          <w:sz w:val="24"/>
          <w:szCs w:val="24"/>
          <w:lang w:eastAsia="es-CO"/>
        </w:rPr>
        <w:t>que realice la transacción o venta de su inversión, deberá presentar, </w:t>
      </w:r>
      <w:r w:rsidRPr="004A3665">
        <w:rPr>
          <w:rFonts w:ascii="Times New Roman" w:eastAsia="Times New Roman" w:hAnsi="Times New Roman" w:cs="Times New Roman"/>
          <w:i/>
          <w:iCs/>
          <w:sz w:val="24"/>
          <w:szCs w:val="24"/>
          <w:u w:val="single"/>
          <w:lang w:eastAsia="es-CO"/>
        </w:rPr>
        <w:t>dentro del mes siguiente a la fecha de  la transacción o venta</w:t>
      </w:r>
      <w:r w:rsidRPr="004A3665">
        <w:rPr>
          <w:rFonts w:ascii="Times New Roman" w:eastAsia="Times New Roman" w:hAnsi="Times New Roman" w:cs="Times New Roman"/>
          <w:i/>
          <w:iCs/>
          <w:sz w:val="24"/>
          <w:szCs w:val="24"/>
          <w:lang w:eastAsia="es-CO"/>
        </w:rPr>
        <w:t>, “Declaración de renta por cambio de titularidad de la inversión extranjera", con la liquidación y pago del impuesto que se genere por la respectiva operación, utilizando el Formulario que para el efecto prescriba la Unidad Administrativa Especial Dirección de Impuestos y Aduanas Nacionales -DIAN y podrá realizarlo a través de su apoderado, agente o representante en Colombia del inversionista, según el caso. (...)."</w:t>
      </w:r>
    </w:p>
    <w:p w:rsidR="004A3665" w:rsidRPr="004A3665" w:rsidRDefault="004A3665" w:rsidP="004A3665">
      <w:pPr>
        <w:spacing w:after="0" w:line="240" w:lineRule="auto"/>
        <w:jc w:val="both"/>
        <w:rPr>
          <w:rFonts w:ascii="Times New Roman" w:eastAsia="Times New Roman" w:hAnsi="Times New Roman" w:cs="Times New Roman"/>
          <w:sz w:val="24"/>
          <w:szCs w:val="24"/>
          <w:lang w:eastAsia="es-CO"/>
        </w:rPr>
      </w:pPr>
      <w:r w:rsidRPr="004A3665">
        <w:rPr>
          <w:rFonts w:ascii="Times New Roman" w:eastAsia="Times New Roman" w:hAnsi="Times New Roman" w:cs="Times New Roman"/>
          <w:sz w:val="24"/>
          <w:szCs w:val="24"/>
          <w:lang w:eastAsia="es-CO"/>
        </w:rPr>
        <w:t> </w:t>
      </w:r>
    </w:p>
    <w:p w:rsidR="004A3665" w:rsidRPr="004A3665" w:rsidRDefault="004A3665" w:rsidP="004A3665">
      <w:pPr>
        <w:spacing w:after="0" w:line="240" w:lineRule="auto"/>
        <w:jc w:val="both"/>
        <w:rPr>
          <w:rFonts w:ascii="Times New Roman" w:eastAsia="Times New Roman" w:hAnsi="Times New Roman" w:cs="Times New Roman"/>
          <w:sz w:val="24"/>
          <w:szCs w:val="24"/>
          <w:lang w:eastAsia="es-CO"/>
        </w:rPr>
      </w:pPr>
      <w:r w:rsidRPr="004A3665">
        <w:rPr>
          <w:rFonts w:ascii="Times New Roman" w:eastAsia="Times New Roman" w:hAnsi="Times New Roman" w:cs="Times New Roman"/>
          <w:sz w:val="24"/>
          <w:szCs w:val="24"/>
          <w:lang w:eastAsia="es-CO"/>
        </w:rPr>
        <w:t>1.2. De la norma anterior, es posible señalar que los inversionistas extranjeros directos en Colombia que realicen la transacción o venta de su inversión se encuentran obligados a presentar la </w:t>
      </w:r>
      <w:r w:rsidRPr="004A3665">
        <w:rPr>
          <w:rFonts w:ascii="Times New Roman" w:eastAsia="Times New Roman" w:hAnsi="Times New Roman" w:cs="Times New Roman"/>
          <w:i/>
          <w:iCs/>
          <w:sz w:val="24"/>
          <w:szCs w:val="24"/>
          <w:lang w:eastAsia="es-CO"/>
        </w:rPr>
        <w:t>"Declaración de renta por cambio de titularidad de la inversión extranjera"</w:t>
      </w:r>
      <w:r w:rsidRPr="004A3665">
        <w:rPr>
          <w:rFonts w:ascii="Times New Roman" w:eastAsia="Times New Roman" w:hAnsi="Times New Roman" w:cs="Times New Roman"/>
          <w:sz w:val="24"/>
          <w:szCs w:val="24"/>
          <w:lang w:eastAsia="es-CO"/>
        </w:rPr>
        <w:t> dentro del mes siguiente a la fecha de transacción o venta.</w:t>
      </w:r>
    </w:p>
    <w:p w:rsidR="004A3665" w:rsidRPr="004A3665" w:rsidRDefault="004A3665" w:rsidP="004A3665">
      <w:pPr>
        <w:spacing w:after="0" w:line="240" w:lineRule="auto"/>
        <w:jc w:val="both"/>
        <w:rPr>
          <w:rFonts w:ascii="Times New Roman" w:eastAsia="Times New Roman" w:hAnsi="Times New Roman" w:cs="Times New Roman"/>
          <w:sz w:val="24"/>
          <w:szCs w:val="24"/>
          <w:lang w:eastAsia="es-CO"/>
        </w:rPr>
      </w:pPr>
    </w:p>
    <w:p w:rsidR="004A3665" w:rsidRPr="004A3665" w:rsidRDefault="004A3665" w:rsidP="004A3665">
      <w:pPr>
        <w:spacing w:after="0" w:line="240" w:lineRule="auto"/>
        <w:jc w:val="both"/>
        <w:rPr>
          <w:rFonts w:ascii="Times New Roman" w:eastAsia="Times New Roman" w:hAnsi="Times New Roman" w:cs="Times New Roman"/>
          <w:sz w:val="24"/>
          <w:szCs w:val="24"/>
          <w:lang w:eastAsia="es-CO"/>
        </w:rPr>
      </w:pPr>
      <w:r w:rsidRPr="004A3665">
        <w:rPr>
          <w:rFonts w:ascii="Times New Roman" w:eastAsia="Times New Roman" w:hAnsi="Times New Roman" w:cs="Times New Roman"/>
          <w:sz w:val="24"/>
          <w:szCs w:val="24"/>
          <w:lang w:eastAsia="es-CO"/>
        </w:rPr>
        <w:t>1.3. Para efectos del caso concreto, es necesario pasar a revisar cuando se entiende la fecha de transacción o venta de bienes inmuebles para efectos jurídicos.</w:t>
      </w:r>
    </w:p>
    <w:p w:rsidR="004A3665" w:rsidRPr="004A3665" w:rsidRDefault="004A3665" w:rsidP="004A3665">
      <w:pPr>
        <w:spacing w:after="0" w:line="240" w:lineRule="auto"/>
        <w:jc w:val="both"/>
        <w:rPr>
          <w:rFonts w:ascii="Times New Roman" w:eastAsia="Times New Roman" w:hAnsi="Times New Roman" w:cs="Times New Roman"/>
          <w:sz w:val="24"/>
          <w:szCs w:val="24"/>
          <w:lang w:eastAsia="es-CO"/>
        </w:rPr>
      </w:pPr>
    </w:p>
    <w:p w:rsidR="004A3665" w:rsidRPr="004A3665" w:rsidRDefault="004A3665" w:rsidP="004A3665">
      <w:pPr>
        <w:spacing w:after="0" w:line="240" w:lineRule="auto"/>
        <w:jc w:val="both"/>
        <w:rPr>
          <w:rFonts w:ascii="Times New Roman" w:eastAsia="Times New Roman" w:hAnsi="Times New Roman" w:cs="Times New Roman"/>
          <w:sz w:val="24"/>
          <w:szCs w:val="24"/>
          <w:lang w:eastAsia="es-CO"/>
        </w:rPr>
      </w:pPr>
      <w:r w:rsidRPr="004A3665">
        <w:rPr>
          <w:rFonts w:ascii="Times New Roman" w:eastAsia="Times New Roman" w:hAnsi="Times New Roman" w:cs="Times New Roman"/>
          <w:sz w:val="24"/>
          <w:szCs w:val="24"/>
          <w:lang w:eastAsia="es-CO"/>
        </w:rPr>
        <w:t>1.4. Según lo establecido por este despacho en el Concepto No. 019871 de 2002, se</w:t>
      </w:r>
      <w:r w:rsidRPr="004A3665">
        <w:rPr>
          <w:rFonts w:ascii="Times New Roman" w:eastAsia="Times New Roman" w:hAnsi="Times New Roman" w:cs="Times New Roman"/>
          <w:sz w:val="24"/>
          <w:szCs w:val="24"/>
          <w:lang w:eastAsia="es-CO"/>
        </w:rPr>
        <w:t xml:space="preserve"> </w:t>
      </w:r>
      <w:r w:rsidRPr="004A3665">
        <w:rPr>
          <w:rFonts w:ascii="Times New Roman" w:eastAsia="Times New Roman" w:hAnsi="Times New Roman" w:cs="Times New Roman"/>
          <w:sz w:val="24"/>
          <w:szCs w:val="24"/>
          <w:lang w:eastAsia="es-CO"/>
        </w:rPr>
        <w:t>establece que:</w:t>
      </w:r>
    </w:p>
    <w:p w:rsidR="004A3665" w:rsidRPr="004A3665" w:rsidRDefault="004A3665" w:rsidP="004A3665">
      <w:pPr>
        <w:spacing w:after="0" w:line="240" w:lineRule="auto"/>
        <w:ind w:left="284"/>
        <w:jc w:val="both"/>
        <w:rPr>
          <w:rFonts w:ascii="Times New Roman" w:eastAsia="Times New Roman" w:hAnsi="Times New Roman" w:cs="Times New Roman"/>
          <w:sz w:val="24"/>
          <w:szCs w:val="24"/>
          <w:lang w:eastAsia="es-CO"/>
        </w:rPr>
      </w:pPr>
      <w:r w:rsidRPr="004A3665">
        <w:rPr>
          <w:rFonts w:ascii="Times New Roman" w:eastAsia="Times New Roman" w:hAnsi="Times New Roman" w:cs="Times New Roman"/>
          <w:sz w:val="24"/>
          <w:szCs w:val="24"/>
          <w:lang w:eastAsia="es-CO"/>
        </w:rPr>
        <w:t> </w:t>
      </w:r>
    </w:p>
    <w:p w:rsidR="004A3665" w:rsidRPr="004A3665" w:rsidRDefault="004A3665" w:rsidP="004A3665">
      <w:pPr>
        <w:spacing w:after="0" w:line="240" w:lineRule="auto"/>
        <w:ind w:left="284"/>
        <w:jc w:val="both"/>
        <w:rPr>
          <w:rFonts w:ascii="Times New Roman" w:eastAsia="Times New Roman" w:hAnsi="Times New Roman" w:cs="Times New Roman"/>
          <w:sz w:val="24"/>
          <w:szCs w:val="24"/>
          <w:lang w:eastAsia="es-CO"/>
        </w:rPr>
      </w:pPr>
      <w:r w:rsidRPr="004A3665">
        <w:rPr>
          <w:rFonts w:ascii="Times New Roman" w:eastAsia="Times New Roman" w:hAnsi="Times New Roman" w:cs="Times New Roman"/>
          <w:i/>
          <w:iCs/>
          <w:sz w:val="24"/>
          <w:szCs w:val="24"/>
          <w:lang w:eastAsia="es-CO"/>
        </w:rPr>
        <w:t xml:space="preserve">"La enajenación de bienes raíces es un contrato solemne, es decir que no se perfecciona con el solo acuerdo de las partes; la solemnidad para estos eventos consiste en el registro </w:t>
      </w:r>
      <w:r w:rsidRPr="004A3665">
        <w:rPr>
          <w:rFonts w:ascii="Times New Roman" w:eastAsia="Times New Roman" w:hAnsi="Times New Roman" w:cs="Times New Roman"/>
          <w:i/>
          <w:iCs/>
          <w:sz w:val="24"/>
          <w:szCs w:val="24"/>
          <w:lang w:eastAsia="es-CO"/>
        </w:rPr>
        <w:lastRenderedPageBreak/>
        <w:t xml:space="preserve">de la escritura pública de compraventa en la Oficina de Registro de Instrumentos Públicos, y constituye un requisito ad </w:t>
      </w:r>
      <w:proofErr w:type="spellStart"/>
      <w:r w:rsidRPr="004A3665">
        <w:rPr>
          <w:rFonts w:ascii="Times New Roman" w:eastAsia="Times New Roman" w:hAnsi="Times New Roman" w:cs="Times New Roman"/>
          <w:i/>
          <w:iCs/>
          <w:sz w:val="24"/>
          <w:szCs w:val="24"/>
          <w:lang w:eastAsia="es-CO"/>
        </w:rPr>
        <w:t>substantiam</w:t>
      </w:r>
      <w:proofErr w:type="spellEnd"/>
      <w:r w:rsidRPr="004A3665">
        <w:rPr>
          <w:rFonts w:ascii="Times New Roman" w:eastAsia="Times New Roman" w:hAnsi="Times New Roman" w:cs="Times New Roman"/>
          <w:i/>
          <w:iCs/>
          <w:sz w:val="24"/>
          <w:szCs w:val="24"/>
          <w:lang w:eastAsia="es-CO"/>
        </w:rPr>
        <w:t xml:space="preserve"> </w:t>
      </w:r>
      <w:proofErr w:type="spellStart"/>
      <w:r w:rsidRPr="004A3665">
        <w:rPr>
          <w:rFonts w:ascii="Times New Roman" w:eastAsia="Times New Roman" w:hAnsi="Times New Roman" w:cs="Times New Roman"/>
          <w:i/>
          <w:iCs/>
          <w:sz w:val="24"/>
          <w:szCs w:val="24"/>
          <w:lang w:eastAsia="es-CO"/>
        </w:rPr>
        <w:t>actus</w:t>
      </w:r>
      <w:proofErr w:type="spellEnd"/>
      <w:r w:rsidRPr="004A3665">
        <w:rPr>
          <w:rFonts w:ascii="Times New Roman" w:eastAsia="Times New Roman" w:hAnsi="Times New Roman" w:cs="Times New Roman"/>
          <w:i/>
          <w:iCs/>
          <w:sz w:val="24"/>
          <w:szCs w:val="24"/>
          <w:lang w:eastAsia="es-CO"/>
        </w:rPr>
        <w:t xml:space="preserve"> y ad </w:t>
      </w:r>
      <w:proofErr w:type="spellStart"/>
      <w:r w:rsidRPr="004A3665">
        <w:rPr>
          <w:rFonts w:ascii="Times New Roman" w:eastAsia="Times New Roman" w:hAnsi="Times New Roman" w:cs="Times New Roman"/>
          <w:i/>
          <w:iCs/>
          <w:sz w:val="24"/>
          <w:szCs w:val="24"/>
          <w:lang w:eastAsia="es-CO"/>
        </w:rPr>
        <w:t>probationem</w:t>
      </w:r>
      <w:proofErr w:type="spellEnd"/>
      <w:r w:rsidRPr="004A3665">
        <w:rPr>
          <w:rFonts w:ascii="Times New Roman" w:eastAsia="Times New Roman" w:hAnsi="Times New Roman" w:cs="Times New Roman"/>
          <w:i/>
          <w:iCs/>
          <w:sz w:val="24"/>
          <w:szCs w:val="24"/>
          <w:lang w:eastAsia="es-CO"/>
        </w:rPr>
        <w:t>. </w:t>
      </w:r>
      <w:r w:rsidRPr="004A3665">
        <w:rPr>
          <w:rFonts w:ascii="Times New Roman" w:eastAsia="Times New Roman" w:hAnsi="Times New Roman" w:cs="Times New Roman"/>
          <w:i/>
          <w:iCs/>
          <w:sz w:val="24"/>
          <w:szCs w:val="24"/>
          <w:u w:val="single"/>
          <w:lang w:eastAsia="es-CO"/>
        </w:rPr>
        <w:t>Por tanto, la venta de esta clase de bienes, no se considera perfeccionada ante la ley mientras no se haya otorgado la escritura pública correspondiente, en los términos del artículo 1857 del Código Civil y se haya realizado la formalidad de su registro</w:t>
      </w:r>
      <w:r w:rsidRPr="004A3665">
        <w:rPr>
          <w:rFonts w:ascii="Times New Roman" w:eastAsia="Times New Roman" w:hAnsi="Times New Roman" w:cs="Times New Roman"/>
          <w:i/>
          <w:iCs/>
          <w:sz w:val="24"/>
          <w:szCs w:val="24"/>
          <w:lang w:eastAsia="es-CO"/>
        </w:rPr>
        <w:t>.</w:t>
      </w:r>
    </w:p>
    <w:p w:rsidR="004A3665" w:rsidRPr="004A3665" w:rsidRDefault="004A3665" w:rsidP="004A3665">
      <w:pPr>
        <w:spacing w:after="0" w:line="240" w:lineRule="auto"/>
        <w:ind w:left="284"/>
        <w:jc w:val="both"/>
        <w:rPr>
          <w:rFonts w:ascii="Times New Roman" w:eastAsia="Times New Roman" w:hAnsi="Times New Roman" w:cs="Times New Roman"/>
          <w:sz w:val="24"/>
          <w:szCs w:val="24"/>
          <w:lang w:eastAsia="es-CO"/>
        </w:rPr>
      </w:pPr>
      <w:r w:rsidRPr="004A3665">
        <w:rPr>
          <w:rFonts w:ascii="Times New Roman" w:eastAsia="Times New Roman" w:hAnsi="Times New Roman" w:cs="Times New Roman"/>
          <w:sz w:val="24"/>
          <w:szCs w:val="24"/>
          <w:lang w:eastAsia="es-CO"/>
        </w:rPr>
        <w:t> </w:t>
      </w:r>
    </w:p>
    <w:p w:rsidR="004A3665" w:rsidRPr="004A3665" w:rsidRDefault="004A3665" w:rsidP="004A3665">
      <w:pPr>
        <w:spacing w:after="0" w:line="240" w:lineRule="auto"/>
        <w:ind w:left="284"/>
        <w:jc w:val="both"/>
        <w:rPr>
          <w:rFonts w:ascii="Times New Roman" w:eastAsia="Times New Roman" w:hAnsi="Times New Roman" w:cs="Times New Roman"/>
          <w:sz w:val="24"/>
          <w:szCs w:val="24"/>
          <w:lang w:eastAsia="es-CO"/>
        </w:rPr>
      </w:pPr>
      <w:r w:rsidRPr="004A3665">
        <w:rPr>
          <w:rFonts w:ascii="Times New Roman" w:eastAsia="Times New Roman" w:hAnsi="Times New Roman" w:cs="Times New Roman"/>
          <w:i/>
          <w:iCs/>
          <w:sz w:val="24"/>
          <w:szCs w:val="24"/>
          <w:lang w:eastAsia="es-CO"/>
        </w:rPr>
        <w:t>No basta, pues, el otorgamiento de la escritura pública, para que se produzca la enajenación del bien inmueble, sino que, se reitera, el ordenamiento civil establece que para que esta se produzca se requiere la tradición del inmueble que en el caso de los bienes raíces se efectúa en los términos del artículo 756 del Código Civil: "Se efectuará la tradición del dominio de los bienes raíces por la inscripción del título en la oficina de registro de instrumentos públicos..."</w:t>
      </w:r>
    </w:p>
    <w:p w:rsidR="004A3665" w:rsidRPr="004A3665" w:rsidRDefault="004A3665" w:rsidP="004A3665">
      <w:pPr>
        <w:spacing w:after="0" w:line="240" w:lineRule="auto"/>
        <w:jc w:val="both"/>
        <w:rPr>
          <w:rFonts w:ascii="Times New Roman" w:eastAsia="Times New Roman" w:hAnsi="Times New Roman" w:cs="Times New Roman"/>
          <w:sz w:val="24"/>
          <w:szCs w:val="24"/>
          <w:lang w:eastAsia="es-CO"/>
        </w:rPr>
      </w:pPr>
      <w:r w:rsidRPr="004A3665">
        <w:rPr>
          <w:rFonts w:ascii="Times New Roman" w:eastAsia="Times New Roman" w:hAnsi="Times New Roman" w:cs="Times New Roman"/>
          <w:sz w:val="24"/>
          <w:szCs w:val="24"/>
          <w:lang w:eastAsia="es-CO"/>
        </w:rPr>
        <w:t> </w:t>
      </w:r>
    </w:p>
    <w:p w:rsidR="004A3665" w:rsidRPr="004A3665" w:rsidRDefault="004A3665" w:rsidP="004A3665">
      <w:pPr>
        <w:spacing w:after="0" w:line="240" w:lineRule="auto"/>
        <w:jc w:val="both"/>
        <w:rPr>
          <w:rFonts w:ascii="Times New Roman" w:eastAsia="Times New Roman" w:hAnsi="Times New Roman" w:cs="Times New Roman"/>
          <w:sz w:val="24"/>
          <w:szCs w:val="24"/>
          <w:lang w:eastAsia="es-CO"/>
        </w:rPr>
      </w:pPr>
      <w:r w:rsidRPr="004A3665">
        <w:rPr>
          <w:rFonts w:ascii="Times New Roman" w:eastAsia="Times New Roman" w:hAnsi="Times New Roman" w:cs="Times New Roman"/>
          <w:sz w:val="24"/>
          <w:szCs w:val="24"/>
          <w:lang w:eastAsia="es-CO"/>
        </w:rPr>
        <w:t>1.5. Sin perjuicio a lo anterior, es necesario señalar que el </w:t>
      </w:r>
      <w:hyperlink r:id="rId5" w:tooltip="Estatuto Tributario CETA" w:history="1">
        <w:r w:rsidRPr="004A3665">
          <w:rPr>
            <w:rFonts w:ascii="Times New Roman" w:eastAsia="Times New Roman" w:hAnsi="Times New Roman" w:cs="Times New Roman"/>
            <w:sz w:val="24"/>
            <w:szCs w:val="24"/>
            <w:u w:val="single"/>
            <w:lang w:eastAsia="es-CO"/>
          </w:rPr>
          <w:t>artículo 27</w:t>
        </w:r>
      </w:hyperlink>
      <w:r w:rsidRPr="004A3665">
        <w:rPr>
          <w:rFonts w:ascii="Times New Roman" w:eastAsia="Times New Roman" w:hAnsi="Times New Roman" w:cs="Times New Roman"/>
          <w:sz w:val="24"/>
          <w:szCs w:val="24"/>
          <w:lang w:eastAsia="es-CO"/>
        </w:rPr>
        <w:t> del Estatuto Tributario establece que:</w:t>
      </w:r>
    </w:p>
    <w:p w:rsidR="004A3665" w:rsidRPr="004A3665" w:rsidRDefault="004A3665" w:rsidP="004A3665">
      <w:pPr>
        <w:spacing w:after="0" w:line="240" w:lineRule="auto"/>
        <w:ind w:left="284"/>
        <w:jc w:val="both"/>
        <w:rPr>
          <w:rFonts w:ascii="Times New Roman" w:eastAsia="Times New Roman" w:hAnsi="Times New Roman" w:cs="Times New Roman"/>
          <w:sz w:val="24"/>
          <w:szCs w:val="24"/>
          <w:lang w:eastAsia="es-CO"/>
        </w:rPr>
      </w:pPr>
      <w:r w:rsidRPr="004A3665">
        <w:rPr>
          <w:rFonts w:ascii="Times New Roman" w:eastAsia="Times New Roman" w:hAnsi="Times New Roman" w:cs="Times New Roman"/>
          <w:sz w:val="24"/>
          <w:szCs w:val="24"/>
          <w:lang w:eastAsia="es-CO"/>
        </w:rPr>
        <w:t> </w:t>
      </w:r>
    </w:p>
    <w:p w:rsidR="004A3665" w:rsidRPr="004A3665" w:rsidRDefault="004A3665" w:rsidP="004A3665">
      <w:pPr>
        <w:spacing w:after="0" w:line="240" w:lineRule="auto"/>
        <w:ind w:left="284"/>
        <w:jc w:val="both"/>
        <w:rPr>
          <w:rFonts w:ascii="Times New Roman" w:eastAsia="Times New Roman" w:hAnsi="Times New Roman" w:cs="Times New Roman"/>
          <w:sz w:val="24"/>
          <w:szCs w:val="24"/>
          <w:lang w:eastAsia="es-CO"/>
        </w:rPr>
      </w:pPr>
      <w:r w:rsidRPr="004A3665">
        <w:rPr>
          <w:rFonts w:ascii="Times New Roman" w:eastAsia="Times New Roman" w:hAnsi="Times New Roman" w:cs="Times New Roman"/>
          <w:i/>
          <w:iCs/>
          <w:sz w:val="24"/>
          <w:szCs w:val="24"/>
          <w:lang w:eastAsia="es-CO"/>
        </w:rPr>
        <w:t>"Para los contribuyentes no obligados a llevar contabilidad se entienden realizados los ingresos cuando se reciben efectivamente en dinero o en especie, en forma que equivalga legalmente a un pago, o cuando el derecho a exigirlos se extingue por cualquier otro modo legal distinto al pago, como en el caso de las compensaciones o confusiones. Por consiguiente, los ingresos recibidos por anticipado, que correspondan a rentas no realizadas, solo se gravan en el año período gravable en que se realicen.</w:t>
      </w:r>
    </w:p>
    <w:p w:rsidR="004A3665" w:rsidRPr="004A3665" w:rsidRDefault="004A3665" w:rsidP="004A3665">
      <w:pPr>
        <w:spacing w:after="0" w:line="240" w:lineRule="auto"/>
        <w:ind w:left="284"/>
        <w:jc w:val="both"/>
        <w:rPr>
          <w:rFonts w:ascii="Times New Roman" w:eastAsia="Times New Roman" w:hAnsi="Times New Roman" w:cs="Times New Roman"/>
          <w:sz w:val="24"/>
          <w:szCs w:val="24"/>
          <w:lang w:eastAsia="es-CO"/>
        </w:rPr>
      </w:pPr>
      <w:r w:rsidRPr="004A3665">
        <w:rPr>
          <w:rFonts w:ascii="Times New Roman" w:eastAsia="Times New Roman" w:hAnsi="Times New Roman" w:cs="Times New Roman"/>
          <w:sz w:val="24"/>
          <w:szCs w:val="24"/>
          <w:lang w:eastAsia="es-CO"/>
        </w:rPr>
        <w:t> </w:t>
      </w:r>
    </w:p>
    <w:p w:rsidR="004A3665" w:rsidRPr="004A3665" w:rsidRDefault="004A3665" w:rsidP="004A3665">
      <w:pPr>
        <w:spacing w:after="0" w:line="240" w:lineRule="auto"/>
        <w:ind w:left="284"/>
        <w:jc w:val="both"/>
        <w:rPr>
          <w:rFonts w:ascii="Times New Roman" w:eastAsia="Times New Roman" w:hAnsi="Times New Roman" w:cs="Times New Roman"/>
          <w:sz w:val="24"/>
          <w:szCs w:val="24"/>
          <w:lang w:eastAsia="es-CO"/>
        </w:rPr>
      </w:pPr>
      <w:r w:rsidRPr="004A3665">
        <w:rPr>
          <w:rFonts w:ascii="Times New Roman" w:eastAsia="Times New Roman" w:hAnsi="Times New Roman" w:cs="Times New Roman"/>
          <w:i/>
          <w:iCs/>
          <w:sz w:val="24"/>
          <w:szCs w:val="24"/>
          <w:lang w:eastAsia="es-CO"/>
        </w:rPr>
        <w:t>Se exceptúan de la norma anterior: (...)</w:t>
      </w:r>
    </w:p>
    <w:p w:rsidR="004A3665" w:rsidRPr="004A3665" w:rsidRDefault="004A3665" w:rsidP="004A3665">
      <w:pPr>
        <w:spacing w:after="0" w:line="240" w:lineRule="auto"/>
        <w:ind w:left="284"/>
        <w:jc w:val="both"/>
        <w:rPr>
          <w:rFonts w:ascii="Times New Roman" w:eastAsia="Times New Roman" w:hAnsi="Times New Roman" w:cs="Times New Roman"/>
          <w:sz w:val="24"/>
          <w:szCs w:val="24"/>
          <w:lang w:eastAsia="es-CO"/>
        </w:rPr>
      </w:pPr>
      <w:r w:rsidRPr="004A3665">
        <w:rPr>
          <w:rFonts w:ascii="Times New Roman" w:eastAsia="Times New Roman" w:hAnsi="Times New Roman" w:cs="Times New Roman"/>
          <w:sz w:val="24"/>
          <w:szCs w:val="24"/>
          <w:lang w:eastAsia="es-CO"/>
        </w:rPr>
        <w:t> </w:t>
      </w:r>
    </w:p>
    <w:p w:rsidR="004A3665" w:rsidRPr="004A3665" w:rsidRDefault="004A3665" w:rsidP="004A3665">
      <w:pPr>
        <w:spacing w:after="0" w:line="240" w:lineRule="auto"/>
        <w:ind w:left="284"/>
        <w:jc w:val="both"/>
        <w:rPr>
          <w:rFonts w:ascii="Times New Roman" w:eastAsia="Times New Roman" w:hAnsi="Times New Roman" w:cs="Times New Roman"/>
          <w:sz w:val="24"/>
          <w:szCs w:val="24"/>
          <w:lang w:eastAsia="es-CO"/>
        </w:rPr>
      </w:pPr>
      <w:r w:rsidRPr="004A3665">
        <w:rPr>
          <w:rFonts w:ascii="Times New Roman" w:eastAsia="Times New Roman" w:hAnsi="Times New Roman" w:cs="Times New Roman"/>
          <w:i/>
          <w:iCs/>
          <w:sz w:val="24"/>
          <w:szCs w:val="24"/>
          <w:lang w:eastAsia="es-CO"/>
        </w:rPr>
        <w:t>2. </w:t>
      </w:r>
      <w:r w:rsidRPr="004A3665">
        <w:rPr>
          <w:rFonts w:ascii="Times New Roman" w:eastAsia="Times New Roman" w:hAnsi="Times New Roman" w:cs="Times New Roman"/>
          <w:i/>
          <w:iCs/>
          <w:sz w:val="24"/>
          <w:szCs w:val="24"/>
          <w:u w:val="single"/>
          <w:lang w:eastAsia="es-CO"/>
        </w:rPr>
        <w:t>Los ingresos provenientes de la enajenación de bienes inmuebles, se entienden realizados en la fecha de la escritura pública correspondiente.</w:t>
      </w:r>
      <w:r w:rsidRPr="004A3665">
        <w:rPr>
          <w:rFonts w:ascii="Times New Roman" w:eastAsia="Times New Roman" w:hAnsi="Times New Roman" w:cs="Times New Roman"/>
          <w:i/>
          <w:iCs/>
          <w:sz w:val="24"/>
          <w:szCs w:val="24"/>
          <w:lang w:eastAsia="es-CO"/>
        </w:rPr>
        <w:t> (...)."</w:t>
      </w:r>
    </w:p>
    <w:p w:rsidR="004A3665" w:rsidRPr="004A3665" w:rsidRDefault="004A3665" w:rsidP="004A3665">
      <w:pPr>
        <w:spacing w:after="0" w:line="240" w:lineRule="auto"/>
        <w:jc w:val="both"/>
        <w:rPr>
          <w:rFonts w:ascii="Times New Roman" w:eastAsia="Times New Roman" w:hAnsi="Times New Roman" w:cs="Times New Roman"/>
          <w:sz w:val="24"/>
          <w:szCs w:val="24"/>
          <w:lang w:eastAsia="es-CO"/>
        </w:rPr>
      </w:pPr>
      <w:r w:rsidRPr="004A3665">
        <w:rPr>
          <w:rFonts w:ascii="Times New Roman" w:eastAsia="Times New Roman" w:hAnsi="Times New Roman" w:cs="Times New Roman"/>
          <w:sz w:val="24"/>
          <w:szCs w:val="24"/>
          <w:lang w:eastAsia="es-CO"/>
        </w:rPr>
        <w:t> </w:t>
      </w:r>
    </w:p>
    <w:p w:rsidR="004A3665" w:rsidRPr="004A3665" w:rsidRDefault="004A3665" w:rsidP="004A3665">
      <w:pPr>
        <w:spacing w:after="0" w:line="240" w:lineRule="auto"/>
        <w:jc w:val="both"/>
        <w:rPr>
          <w:rFonts w:ascii="Times New Roman" w:eastAsia="Times New Roman" w:hAnsi="Times New Roman" w:cs="Times New Roman"/>
          <w:sz w:val="24"/>
          <w:szCs w:val="24"/>
          <w:lang w:eastAsia="es-CO"/>
        </w:rPr>
      </w:pPr>
      <w:r w:rsidRPr="004A3665">
        <w:rPr>
          <w:rFonts w:ascii="Times New Roman" w:eastAsia="Times New Roman" w:hAnsi="Times New Roman" w:cs="Times New Roman"/>
          <w:sz w:val="24"/>
          <w:szCs w:val="24"/>
          <w:lang w:eastAsia="es-CO"/>
        </w:rPr>
        <w:t>1.6. El numeral 2 del </w:t>
      </w:r>
      <w:hyperlink r:id="rId6" w:tooltip="Estatuto Tributario CETA" w:history="1">
        <w:r w:rsidRPr="004A3665">
          <w:rPr>
            <w:rFonts w:ascii="Times New Roman" w:eastAsia="Times New Roman" w:hAnsi="Times New Roman" w:cs="Times New Roman"/>
            <w:sz w:val="24"/>
            <w:szCs w:val="24"/>
            <w:u w:val="single"/>
            <w:lang w:eastAsia="es-CO"/>
          </w:rPr>
          <w:t>artículo 28</w:t>
        </w:r>
      </w:hyperlink>
      <w:r w:rsidRPr="004A3665">
        <w:rPr>
          <w:rFonts w:ascii="Times New Roman" w:eastAsia="Times New Roman" w:hAnsi="Times New Roman" w:cs="Times New Roman"/>
          <w:sz w:val="24"/>
          <w:szCs w:val="24"/>
          <w:lang w:eastAsia="es-CO"/>
        </w:rPr>
        <w:t> del Estatuto Tributario, el cual establece el tratamiento tributario en la realización del ingreso para los obligados a llevar contabilidad, establece que:</w:t>
      </w:r>
    </w:p>
    <w:p w:rsidR="004A3665" w:rsidRPr="004A3665" w:rsidRDefault="004A3665" w:rsidP="004A3665">
      <w:pPr>
        <w:spacing w:after="0" w:line="240" w:lineRule="auto"/>
        <w:ind w:left="284"/>
        <w:jc w:val="both"/>
        <w:rPr>
          <w:rFonts w:ascii="Times New Roman" w:eastAsia="Times New Roman" w:hAnsi="Times New Roman" w:cs="Times New Roman"/>
          <w:sz w:val="24"/>
          <w:szCs w:val="24"/>
          <w:lang w:eastAsia="es-CO"/>
        </w:rPr>
      </w:pPr>
      <w:r w:rsidRPr="004A3665">
        <w:rPr>
          <w:rFonts w:ascii="Times New Roman" w:eastAsia="Times New Roman" w:hAnsi="Times New Roman" w:cs="Times New Roman"/>
          <w:sz w:val="24"/>
          <w:szCs w:val="24"/>
          <w:lang w:eastAsia="es-CO"/>
        </w:rPr>
        <w:t> </w:t>
      </w:r>
    </w:p>
    <w:p w:rsidR="004A3665" w:rsidRPr="004A3665" w:rsidRDefault="004A3665" w:rsidP="004A3665">
      <w:pPr>
        <w:spacing w:after="0" w:line="240" w:lineRule="auto"/>
        <w:ind w:left="284"/>
        <w:jc w:val="both"/>
        <w:rPr>
          <w:rFonts w:ascii="Times New Roman" w:eastAsia="Times New Roman" w:hAnsi="Times New Roman" w:cs="Times New Roman"/>
          <w:sz w:val="24"/>
          <w:szCs w:val="24"/>
          <w:lang w:eastAsia="es-CO"/>
        </w:rPr>
      </w:pPr>
      <w:r w:rsidRPr="004A3665">
        <w:rPr>
          <w:rFonts w:ascii="Times New Roman" w:eastAsia="Times New Roman" w:hAnsi="Times New Roman" w:cs="Times New Roman"/>
          <w:i/>
          <w:iCs/>
          <w:sz w:val="24"/>
          <w:szCs w:val="24"/>
          <w:lang w:eastAsia="es-CO"/>
        </w:rPr>
        <w:t>"2. En el caso de la venta de bienes inmuebles el ingreso se realizará en los términos del numeral 2 del </w:t>
      </w:r>
      <w:hyperlink r:id="rId7" w:tooltip="Estatuto Tributario CETA" w:history="1">
        <w:r w:rsidRPr="004A3665">
          <w:rPr>
            <w:rFonts w:ascii="Times New Roman" w:eastAsia="Times New Roman" w:hAnsi="Times New Roman" w:cs="Times New Roman"/>
            <w:i/>
            <w:iCs/>
            <w:sz w:val="24"/>
            <w:szCs w:val="24"/>
            <w:u w:val="single"/>
            <w:lang w:eastAsia="es-CO"/>
          </w:rPr>
          <w:t>artículo 27</w:t>
        </w:r>
      </w:hyperlink>
      <w:r w:rsidRPr="004A3665">
        <w:rPr>
          <w:rFonts w:ascii="Times New Roman" w:eastAsia="Times New Roman" w:hAnsi="Times New Roman" w:cs="Times New Roman"/>
          <w:i/>
          <w:iCs/>
          <w:sz w:val="24"/>
          <w:szCs w:val="24"/>
          <w:lang w:eastAsia="es-CO"/>
        </w:rPr>
        <w:t> del Estatuto Tributario".</w:t>
      </w:r>
    </w:p>
    <w:p w:rsidR="004A3665" w:rsidRPr="004A3665" w:rsidRDefault="004A3665" w:rsidP="004A3665">
      <w:pPr>
        <w:spacing w:after="0" w:line="240" w:lineRule="auto"/>
        <w:jc w:val="both"/>
        <w:rPr>
          <w:rFonts w:ascii="Times New Roman" w:eastAsia="Times New Roman" w:hAnsi="Times New Roman" w:cs="Times New Roman"/>
          <w:sz w:val="24"/>
          <w:szCs w:val="24"/>
          <w:lang w:eastAsia="es-CO"/>
        </w:rPr>
      </w:pPr>
      <w:r w:rsidRPr="004A3665">
        <w:rPr>
          <w:rFonts w:ascii="Times New Roman" w:eastAsia="Times New Roman" w:hAnsi="Times New Roman" w:cs="Times New Roman"/>
          <w:sz w:val="24"/>
          <w:szCs w:val="24"/>
          <w:lang w:eastAsia="es-CO"/>
        </w:rPr>
        <w:t> </w:t>
      </w:r>
    </w:p>
    <w:p w:rsidR="004A3665" w:rsidRPr="004A3665" w:rsidRDefault="004A3665" w:rsidP="004A3665">
      <w:pPr>
        <w:spacing w:after="0" w:line="240" w:lineRule="auto"/>
        <w:jc w:val="both"/>
        <w:rPr>
          <w:rFonts w:ascii="Times New Roman" w:eastAsia="Times New Roman" w:hAnsi="Times New Roman" w:cs="Times New Roman"/>
          <w:sz w:val="24"/>
          <w:szCs w:val="24"/>
          <w:lang w:eastAsia="es-CO"/>
        </w:rPr>
      </w:pPr>
      <w:r w:rsidRPr="004A3665">
        <w:rPr>
          <w:rFonts w:ascii="Times New Roman" w:eastAsia="Times New Roman" w:hAnsi="Times New Roman" w:cs="Times New Roman"/>
          <w:b/>
          <w:bCs/>
          <w:sz w:val="24"/>
          <w:szCs w:val="24"/>
          <w:lang w:eastAsia="es-CO"/>
        </w:rPr>
        <w:t>1.7. Por lo anterior, es preciso señalar que en el caso de la enajenación de bienes inmuebles la realización del ingreso puede tener lugar en un momento temporal diferente a la venta o transacción del bien inmueble. Lo anterior, reconociendo que el ingreso por la enajenación de inmuebles se realiza, tanto para los obligados a llevar contabilidad como los no obligados, en la fecha de la escritura pública correspondiente,</w:t>
      </w:r>
      <w:r w:rsidRPr="004A3665">
        <w:rPr>
          <w:rFonts w:ascii="Times New Roman" w:eastAsia="Times New Roman" w:hAnsi="Times New Roman" w:cs="Times New Roman"/>
          <w:sz w:val="24"/>
          <w:szCs w:val="24"/>
          <w:lang w:eastAsia="es-CO"/>
        </w:rPr>
        <w:t xml:space="preserve"> mientras que la venta o transacción del inmueble tiene lugar en el momento en que tenga lugar la inscripción del título o escritura pública en la oficina de registro de instrumentos públicos.</w:t>
      </w:r>
    </w:p>
    <w:p w:rsidR="004A3665" w:rsidRPr="004A3665" w:rsidRDefault="004A3665" w:rsidP="004A3665">
      <w:pPr>
        <w:spacing w:after="0" w:line="240" w:lineRule="auto"/>
        <w:jc w:val="both"/>
        <w:rPr>
          <w:rFonts w:ascii="Times New Roman" w:eastAsia="Times New Roman" w:hAnsi="Times New Roman" w:cs="Times New Roman"/>
          <w:sz w:val="24"/>
          <w:szCs w:val="24"/>
          <w:lang w:eastAsia="es-CO"/>
        </w:rPr>
      </w:pPr>
    </w:p>
    <w:p w:rsidR="004A3665" w:rsidRPr="004A3665" w:rsidRDefault="004A3665" w:rsidP="004A3665">
      <w:pPr>
        <w:spacing w:after="0" w:line="240" w:lineRule="auto"/>
        <w:jc w:val="both"/>
        <w:rPr>
          <w:rFonts w:ascii="Times New Roman" w:eastAsia="Times New Roman" w:hAnsi="Times New Roman" w:cs="Times New Roman"/>
          <w:sz w:val="24"/>
          <w:szCs w:val="24"/>
          <w:lang w:eastAsia="es-CO"/>
        </w:rPr>
      </w:pPr>
      <w:r w:rsidRPr="004A3665">
        <w:rPr>
          <w:rFonts w:ascii="Times New Roman" w:eastAsia="Times New Roman" w:hAnsi="Times New Roman" w:cs="Times New Roman"/>
          <w:b/>
          <w:bCs/>
          <w:sz w:val="24"/>
          <w:szCs w:val="24"/>
          <w:lang w:eastAsia="es-CO"/>
        </w:rPr>
        <w:t>1.8. En esta medida, consideramos que el artículo 1.6.1.13.2.19. del Decreto 1625 de 2016 establece la obligación de presentar la </w:t>
      </w:r>
      <w:r w:rsidRPr="004A3665">
        <w:rPr>
          <w:rFonts w:ascii="Times New Roman" w:eastAsia="Times New Roman" w:hAnsi="Times New Roman" w:cs="Times New Roman"/>
          <w:b/>
          <w:bCs/>
          <w:i/>
          <w:iCs/>
          <w:sz w:val="24"/>
          <w:szCs w:val="24"/>
          <w:lang w:eastAsia="es-CO"/>
        </w:rPr>
        <w:t>"Declaración de renta por cambio de titularidad de la inversión extranjera"</w:t>
      </w:r>
      <w:r w:rsidRPr="004A3665">
        <w:rPr>
          <w:rFonts w:ascii="Times New Roman" w:eastAsia="Times New Roman" w:hAnsi="Times New Roman" w:cs="Times New Roman"/>
          <w:b/>
          <w:bCs/>
          <w:sz w:val="24"/>
          <w:szCs w:val="24"/>
          <w:lang w:eastAsia="es-CO"/>
        </w:rPr>
        <w:t> </w:t>
      </w:r>
      <w:r w:rsidRPr="004A3665">
        <w:rPr>
          <w:rFonts w:ascii="Times New Roman" w:eastAsia="Times New Roman" w:hAnsi="Times New Roman" w:cs="Times New Roman"/>
          <w:b/>
          <w:bCs/>
          <w:sz w:val="24"/>
          <w:szCs w:val="24"/>
          <w:u w:val="single"/>
          <w:lang w:eastAsia="es-CO"/>
        </w:rPr>
        <w:t>dentro del mes siguiente a la fecha de la transacción o venta</w:t>
      </w:r>
      <w:r w:rsidRPr="004A3665">
        <w:rPr>
          <w:rFonts w:ascii="Times New Roman" w:eastAsia="Times New Roman" w:hAnsi="Times New Roman" w:cs="Times New Roman"/>
          <w:sz w:val="24"/>
          <w:szCs w:val="24"/>
          <w:lang w:eastAsia="es-CO"/>
        </w:rPr>
        <w:t xml:space="preserve">. Esto quiere decir que la obligación de presentar la declaración no depende del momento de </w:t>
      </w:r>
      <w:r w:rsidRPr="004A3665">
        <w:rPr>
          <w:rFonts w:ascii="Times New Roman" w:eastAsia="Times New Roman" w:hAnsi="Times New Roman" w:cs="Times New Roman"/>
          <w:sz w:val="24"/>
          <w:szCs w:val="24"/>
          <w:lang w:eastAsia="es-CO"/>
        </w:rPr>
        <w:lastRenderedPageBreak/>
        <w:t>la realización del ingreso por la enajenación del bien inmueble sino efectivamente de la venta o transacción.</w:t>
      </w:r>
    </w:p>
    <w:p w:rsidR="004A3665" w:rsidRPr="004A3665" w:rsidRDefault="004A3665" w:rsidP="004A3665">
      <w:pPr>
        <w:spacing w:after="0" w:line="240" w:lineRule="auto"/>
        <w:jc w:val="both"/>
        <w:rPr>
          <w:rFonts w:ascii="Times New Roman" w:eastAsia="Times New Roman" w:hAnsi="Times New Roman" w:cs="Times New Roman"/>
          <w:sz w:val="24"/>
          <w:szCs w:val="24"/>
          <w:lang w:eastAsia="es-CO"/>
        </w:rPr>
      </w:pPr>
    </w:p>
    <w:p w:rsidR="004A3665" w:rsidRPr="004A3665" w:rsidRDefault="004A3665" w:rsidP="004A3665">
      <w:pPr>
        <w:spacing w:after="0" w:line="240" w:lineRule="auto"/>
        <w:jc w:val="both"/>
        <w:rPr>
          <w:rFonts w:ascii="Times New Roman" w:eastAsia="Times New Roman" w:hAnsi="Times New Roman" w:cs="Times New Roman"/>
          <w:sz w:val="24"/>
          <w:szCs w:val="24"/>
          <w:lang w:eastAsia="es-CO"/>
        </w:rPr>
      </w:pPr>
      <w:r w:rsidRPr="004A3665">
        <w:rPr>
          <w:rFonts w:ascii="Times New Roman" w:eastAsia="Times New Roman" w:hAnsi="Times New Roman" w:cs="Times New Roman"/>
          <w:sz w:val="24"/>
          <w:szCs w:val="24"/>
          <w:lang w:eastAsia="es-CO"/>
        </w:rPr>
        <w:t>1.9. Ahora bien, es preciso aclarar que lo señalado en el párrafo anterior, no es óbice para que los obligados a presentar la declaración no reconozcan el ingreso por la enajenación del bien inmueble en los términos del </w:t>
      </w:r>
      <w:hyperlink r:id="rId8" w:tooltip="Estatuto Tributario CETA" w:history="1">
        <w:r w:rsidRPr="004A3665">
          <w:rPr>
            <w:rFonts w:ascii="Times New Roman" w:eastAsia="Times New Roman" w:hAnsi="Times New Roman" w:cs="Times New Roman"/>
            <w:sz w:val="24"/>
            <w:szCs w:val="24"/>
            <w:u w:val="single"/>
            <w:lang w:eastAsia="es-CO"/>
          </w:rPr>
          <w:t>artículo 27</w:t>
        </w:r>
      </w:hyperlink>
      <w:r w:rsidRPr="004A3665">
        <w:rPr>
          <w:rFonts w:ascii="Times New Roman" w:eastAsia="Times New Roman" w:hAnsi="Times New Roman" w:cs="Times New Roman"/>
          <w:sz w:val="24"/>
          <w:szCs w:val="24"/>
          <w:lang w:eastAsia="es-CO"/>
        </w:rPr>
        <w:t> del Estatuto Tributario.</w:t>
      </w:r>
    </w:p>
    <w:p w:rsidR="004A3665" w:rsidRPr="004A3665" w:rsidRDefault="004A3665" w:rsidP="004A3665">
      <w:pPr>
        <w:spacing w:after="0" w:line="240" w:lineRule="auto"/>
        <w:jc w:val="both"/>
        <w:rPr>
          <w:rFonts w:ascii="Times New Roman" w:eastAsia="Times New Roman" w:hAnsi="Times New Roman" w:cs="Times New Roman"/>
          <w:sz w:val="24"/>
          <w:szCs w:val="24"/>
          <w:lang w:eastAsia="es-CO"/>
        </w:rPr>
      </w:pPr>
    </w:p>
    <w:p w:rsidR="004A3665" w:rsidRPr="004A3665" w:rsidRDefault="004A3665" w:rsidP="004A3665">
      <w:pPr>
        <w:spacing w:after="0" w:line="240" w:lineRule="auto"/>
        <w:jc w:val="both"/>
        <w:rPr>
          <w:rFonts w:ascii="Times New Roman" w:eastAsia="Times New Roman" w:hAnsi="Times New Roman" w:cs="Times New Roman"/>
          <w:sz w:val="24"/>
          <w:szCs w:val="24"/>
          <w:lang w:eastAsia="es-CO"/>
        </w:rPr>
      </w:pPr>
      <w:r w:rsidRPr="004A3665">
        <w:rPr>
          <w:rFonts w:ascii="Times New Roman" w:eastAsia="Times New Roman" w:hAnsi="Times New Roman" w:cs="Times New Roman"/>
          <w:sz w:val="24"/>
          <w:szCs w:val="24"/>
          <w:lang w:eastAsia="es-CO"/>
        </w:rPr>
        <w:t>1.10. Así pues, en el caso de la venta o transacción de bienes inmuebles por parte de un inversionista extranjero directo. la</w:t>
      </w:r>
      <w:r w:rsidRPr="004A3665">
        <w:rPr>
          <w:rFonts w:ascii="Times New Roman" w:eastAsia="Times New Roman" w:hAnsi="Times New Roman" w:cs="Times New Roman"/>
          <w:i/>
          <w:iCs/>
          <w:sz w:val="24"/>
          <w:szCs w:val="24"/>
          <w:lang w:eastAsia="es-CO"/>
        </w:rPr>
        <w:t> "Declaración de renta por cambio de titularidad de la inversión extranjera"</w:t>
      </w:r>
      <w:r w:rsidRPr="004A3665">
        <w:rPr>
          <w:rFonts w:ascii="Times New Roman" w:eastAsia="Times New Roman" w:hAnsi="Times New Roman" w:cs="Times New Roman"/>
          <w:sz w:val="24"/>
          <w:szCs w:val="24"/>
          <w:lang w:eastAsia="es-CO"/>
        </w:rPr>
        <w:t> deberá presentarse dentro del mes siguiente a la fecha de inscripción de la escritura pública o título en la Oficina de registro de instrumentos públicos, momento en el cual se entiende la fecha de venta o transacción para el caso de bienes inmuebles.</w:t>
      </w:r>
    </w:p>
    <w:p w:rsidR="004A3665" w:rsidRPr="004A3665" w:rsidRDefault="004A3665" w:rsidP="004A3665">
      <w:pPr>
        <w:spacing w:after="0" w:line="240" w:lineRule="auto"/>
        <w:jc w:val="both"/>
        <w:rPr>
          <w:rFonts w:ascii="Times New Roman" w:eastAsia="Times New Roman" w:hAnsi="Times New Roman" w:cs="Times New Roman"/>
          <w:b/>
          <w:bCs/>
          <w:sz w:val="24"/>
          <w:szCs w:val="24"/>
          <w:lang w:eastAsia="es-CO"/>
        </w:rPr>
      </w:pPr>
    </w:p>
    <w:p w:rsidR="004A3665" w:rsidRPr="004A3665" w:rsidRDefault="004A3665" w:rsidP="004A3665">
      <w:pPr>
        <w:spacing w:after="0" w:line="240" w:lineRule="auto"/>
        <w:jc w:val="both"/>
        <w:rPr>
          <w:rFonts w:ascii="Times New Roman" w:eastAsia="Times New Roman" w:hAnsi="Times New Roman" w:cs="Times New Roman"/>
          <w:b/>
          <w:bCs/>
          <w:sz w:val="24"/>
          <w:szCs w:val="24"/>
          <w:u w:val="single"/>
          <w:lang w:eastAsia="es-CO"/>
        </w:rPr>
      </w:pPr>
      <w:r w:rsidRPr="004A3665">
        <w:rPr>
          <w:rFonts w:ascii="Times New Roman" w:eastAsia="Times New Roman" w:hAnsi="Times New Roman" w:cs="Times New Roman"/>
          <w:b/>
          <w:bCs/>
          <w:sz w:val="24"/>
          <w:szCs w:val="24"/>
          <w:lang w:eastAsia="es-CO"/>
        </w:rPr>
        <w:t>1.11. Por lo anterior, la fecha desde cuándo empieza a correr el término para la presentación de la </w:t>
      </w:r>
      <w:r w:rsidRPr="004A3665">
        <w:rPr>
          <w:rFonts w:ascii="Times New Roman" w:eastAsia="Times New Roman" w:hAnsi="Times New Roman" w:cs="Times New Roman"/>
          <w:b/>
          <w:bCs/>
          <w:i/>
          <w:iCs/>
          <w:sz w:val="24"/>
          <w:szCs w:val="24"/>
          <w:lang w:eastAsia="es-CO"/>
        </w:rPr>
        <w:t>"Declaración de renta por cambio de titularidad de la inversión extranjera”,</w:t>
      </w:r>
      <w:r w:rsidRPr="004A3665">
        <w:rPr>
          <w:rFonts w:ascii="Times New Roman" w:eastAsia="Times New Roman" w:hAnsi="Times New Roman" w:cs="Times New Roman"/>
          <w:b/>
          <w:bCs/>
          <w:sz w:val="24"/>
          <w:szCs w:val="24"/>
          <w:lang w:eastAsia="es-CO"/>
        </w:rPr>
        <w:t xml:space="preserve"> por la transacción o venta de bienes inmuebles, </w:t>
      </w:r>
      <w:r w:rsidRPr="004A3665">
        <w:rPr>
          <w:rFonts w:ascii="Times New Roman" w:eastAsia="Times New Roman" w:hAnsi="Times New Roman" w:cs="Times New Roman"/>
          <w:b/>
          <w:bCs/>
          <w:sz w:val="24"/>
          <w:szCs w:val="24"/>
          <w:u w:val="single"/>
          <w:lang w:eastAsia="es-CO"/>
        </w:rPr>
        <w:t>corresponde al momento en el cual se inscribe el respectivo título en la Oficina de Registro de Instrumentos Públicos.</w:t>
      </w:r>
    </w:p>
    <w:p w:rsidR="004A3665" w:rsidRPr="004A3665" w:rsidRDefault="004A3665" w:rsidP="004A3665">
      <w:pPr>
        <w:spacing w:after="0" w:line="240" w:lineRule="auto"/>
        <w:jc w:val="both"/>
        <w:rPr>
          <w:rFonts w:ascii="Times New Roman" w:eastAsia="Times New Roman" w:hAnsi="Times New Roman" w:cs="Times New Roman"/>
          <w:sz w:val="24"/>
          <w:szCs w:val="24"/>
          <w:lang w:eastAsia="es-CO"/>
        </w:rPr>
      </w:pPr>
      <w:r w:rsidRPr="004A3665">
        <w:rPr>
          <w:rFonts w:ascii="Times New Roman" w:eastAsia="Times New Roman" w:hAnsi="Times New Roman" w:cs="Times New Roman"/>
          <w:sz w:val="24"/>
          <w:szCs w:val="24"/>
          <w:lang w:eastAsia="es-CO"/>
        </w:rPr>
        <w:t> </w:t>
      </w:r>
    </w:p>
    <w:p w:rsidR="004A3665" w:rsidRPr="004A3665" w:rsidRDefault="004A3665" w:rsidP="004A3665">
      <w:pPr>
        <w:spacing w:after="0" w:line="240" w:lineRule="auto"/>
        <w:jc w:val="both"/>
        <w:rPr>
          <w:rFonts w:ascii="Times New Roman" w:eastAsia="Times New Roman" w:hAnsi="Times New Roman" w:cs="Times New Roman"/>
          <w:sz w:val="24"/>
          <w:szCs w:val="24"/>
          <w:lang w:eastAsia="es-CO"/>
        </w:rPr>
      </w:pPr>
      <w:r w:rsidRPr="004A3665">
        <w:rPr>
          <w:rFonts w:ascii="Times New Roman" w:eastAsia="Times New Roman" w:hAnsi="Times New Roman" w:cs="Times New Roman"/>
          <w:b/>
          <w:bCs/>
          <w:sz w:val="24"/>
          <w:szCs w:val="24"/>
          <w:lang w:eastAsia="es-CO"/>
        </w:rPr>
        <w:t>2. Vigencia de la interpretación expuesta en el Concepto No. 190 de 2015 respecto a la inadmisión de la solicitud de devolución por vencimiento de presupuestos formales que se encontraban cumplidos en la solicitud inicial:</w:t>
      </w:r>
    </w:p>
    <w:p w:rsidR="004A3665" w:rsidRPr="004A3665" w:rsidRDefault="004A3665" w:rsidP="004A3665">
      <w:pPr>
        <w:spacing w:after="0" w:line="240" w:lineRule="auto"/>
        <w:jc w:val="both"/>
        <w:rPr>
          <w:rFonts w:ascii="Times New Roman" w:eastAsia="Times New Roman" w:hAnsi="Times New Roman" w:cs="Times New Roman"/>
          <w:sz w:val="24"/>
          <w:szCs w:val="24"/>
          <w:lang w:eastAsia="es-CO"/>
        </w:rPr>
      </w:pPr>
      <w:r w:rsidRPr="004A3665">
        <w:rPr>
          <w:rFonts w:ascii="Times New Roman" w:eastAsia="Times New Roman" w:hAnsi="Times New Roman" w:cs="Times New Roman"/>
          <w:sz w:val="24"/>
          <w:szCs w:val="24"/>
          <w:lang w:eastAsia="es-CO"/>
        </w:rPr>
        <w:t> </w:t>
      </w:r>
    </w:p>
    <w:p w:rsidR="004A3665" w:rsidRPr="004A3665" w:rsidRDefault="004A3665" w:rsidP="004A3665">
      <w:pPr>
        <w:spacing w:after="0" w:line="240" w:lineRule="auto"/>
        <w:jc w:val="both"/>
        <w:rPr>
          <w:rFonts w:ascii="Times New Roman" w:eastAsia="Times New Roman" w:hAnsi="Times New Roman" w:cs="Times New Roman"/>
          <w:sz w:val="24"/>
          <w:szCs w:val="24"/>
          <w:lang w:eastAsia="es-CO"/>
        </w:rPr>
      </w:pPr>
      <w:r w:rsidRPr="004A3665">
        <w:rPr>
          <w:rFonts w:ascii="Times New Roman" w:eastAsia="Times New Roman" w:hAnsi="Times New Roman" w:cs="Times New Roman"/>
          <w:sz w:val="24"/>
          <w:szCs w:val="24"/>
          <w:lang w:eastAsia="es-CO"/>
        </w:rPr>
        <w:t>2.1. El Concepto No. 190 de 2015 se encuentra vigente a la fecha de emisión de este documento.</w:t>
      </w:r>
    </w:p>
    <w:p w:rsidR="004A3665" w:rsidRPr="004A3665" w:rsidRDefault="004A3665" w:rsidP="004A3665">
      <w:pPr>
        <w:spacing w:after="0" w:line="240" w:lineRule="auto"/>
        <w:jc w:val="both"/>
        <w:rPr>
          <w:rFonts w:ascii="Times New Roman" w:eastAsia="Times New Roman" w:hAnsi="Times New Roman" w:cs="Times New Roman"/>
          <w:sz w:val="24"/>
          <w:szCs w:val="24"/>
          <w:lang w:eastAsia="es-CO"/>
        </w:rPr>
      </w:pPr>
    </w:p>
    <w:p w:rsidR="004A3665" w:rsidRPr="004A3665" w:rsidRDefault="004A3665" w:rsidP="004A3665">
      <w:pPr>
        <w:spacing w:after="0" w:line="240" w:lineRule="auto"/>
        <w:jc w:val="both"/>
        <w:rPr>
          <w:rFonts w:ascii="Times New Roman" w:eastAsia="Times New Roman" w:hAnsi="Times New Roman" w:cs="Times New Roman"/>
          <w:sz w:val="24"/>
          <w:szCs w:val="24"/>
          <w:lang w:eastAsia="es-CO"/>
        </w:rPr>
      </w:pPr>
      <w:r w:rsidRPr="004A3665">
        <w:rPr>
          <w:rFonts w:ascii="Times New Roman" w:eastAsia="Times New Roman" w:hAnsi="Times New Roman" w:cs="Times New Roman"/>
          <w:sz w:val="24"/>
          <w:szCs w:val="24"/>
          <w:lang w:eastAsia="es-CO"/>
        </w:rPr>
        <w:t>2.2. Por lo anterior, el aparte del Concepto No. 190 de 2015 donde se señala que: "</w:t>
      </w:r>
      <w:r w:rsidRPr="004A3665">
        <w:rPr>
          <w:rFonts w:ascii="Times New Roman" w:eastAsia="Times New Roman" w:hAnsi="Times New Roman" w:cs="Times New Roman"/>
          <w:i/>
          <w:iCs/>
          <w:sz w:val="24"/>
          <w:szCs w:val="24"/>
          <w:lang w:eastAsia="es-CO"/>
        </w:rPr>
        <w:t>no procederá una nueva inadmisión sí se incumplió con uno de los presupuestos formales que inicialmente se encontraba cumplido, como en el caso de las certificaciones"</w:t>
      </w:r>
      <w:r w:rsidRPr="004A3665">
        <w:rPr>
          <w:rFonts w:ascii="Times New Roman" w:eastAsia="Times New Roman" w:hAnsi="Times New Roman" w:cs="Times New Roman"/>
          <w:sz w:val="24"/>
          <w:szCs w:val="24"/>
          <w:lang w:eastAsia="es-CO"/>
        </w:rPr>
        <w:t>, se encuentra vigente.</w:t>
      </w:r>
    </w:p>
    <w:p w:rsidR="004A3665" w:rsidRPr="004A3665" w:rsidRDefault="004A3665" w:rsidP="004A3665">
      <w:pPr>
        <w:spacing w:after="0" w:line="240" w:lineRule="auto"/>
        <w:jc w:val="both"/>
        <w:rPr>
          <w:rFonts w:ascii="Times New Roman" w:eastAsia="Times New Roman" w:hAnsi="Times New Roman" w:cs="Times New Roman"/>
          <w:sz w:val="24"/>
          <w:szCs w:val="24"/>
          <w:lang w:eastAsia="es-CO"/>
        </w:rPr>
      </w:pPr>
    </w:p>
    <w:p w:rsidR="004A3665" w:rsidRPr="004A3665" w:rsidRDefault="004A3665" w:rsidP="004A3665">
      <w:pPr>
        <w:spacing w:after="0" w:line="240" w:lineRule="auto"/>
        <w:jc w:val="both"/>
        <w:rPr>
          <w:rFonts w:ascii="Times New Roman" w:eastAsia="Times New Roman" w:hAnsi="Times New Roman" w:cs="Times New Roman"/>
          <w:sz w:val="24"/>
          <w:szCs w:val="24"/>
          <w:lang w:eastAsia="es-CO"/>
        </w:rPr>
      </w:pPr>
    </w:p>
    <w:p w:rsidR="004A3665" w:rsidRPr="004A3665" w:rsidRDefault="004A3665" w:rsidP="004A3665">
      <w:pPr>
        <w:spacing w:after="0" w:line="240" w:lineRule="auto"/>
        <w:jc w:val="both"/>
        <w:rPr>
          <w:rFonts w:ascii="Times New Roman" w:eastAsia="Times New Roman" w:hAnsi="Times New Roman" w:cs="Times New Roman"/>
          <w:sz w:val="24"/>
          <w:szCs w:val="24"/>
          <w:lang w:eastAsia="es-CO"/>
        </w:rPr>
      </w:pPr>
      <w:r w:rsidRPr="004A3665">
        <w:rPr>
          <w:rFonts w:ascii="Times New Roman" w:eastAsia="Times New Roman" w:hAnsi="Times New Roman" w:cs="Times New Roman"/>
          <w:sz w:val="24"/>
          <w:szCs w:val="24"/>
          <w:lang w:eastAsia="es-CO"/>
        </w:rPr>
        <w:t>Atentamente,</w:t>
      </w:r>
    </w:p>
    <w:p w:rsidR="004A3665" w:rsidRPr="004A3665" w:rsidRDefault="004A3665" w:rsidP="004A3665">
      <w:pPr>
        <w:spacing w:after="0" w:line="240" w:lineRule="auto"/>
        <w:jc w:val="both"/>
        <w:rPr>
          <w:rFonts w:ascii="Times New Roman" w:eastAsia="Times New Roman" w:hAnsi="Times New Roman" w:cs="Times New Roman"/>
          <w:sz w:val="24"/>
          <w:szCs w:val="24"/>
          <w:lang w:eastAsia="es-CO"/>
        </w:rPr>
      </w:pPr>
      <w:r w:rsidRPr="004A3665">
        <w:rPr>
          <w:rFonts w:ascii="Times New Roman" w:eastAsia="Times New Roman" w:hAnsi="Times New Roman" w:cs="Times New Roman"/>
          <w:sz w:val="24"/>
          <w:szCs w:val="24"/>
          <w:lang w:eastAsia="es-CO"/>
        </w:rPr>
        <w:t> </w:t>
      </w:r>
    </w:p>
    <w:p w:rsidR="004A3665" w:rsidRPr="004A3665" w:rsidRDefault="004A3665" w:rsidP="004A3665">
      <w:pPr>
        <w:spacing w:after="0" w:line="240" w:lineRule="auto"/>
        <w:jc w:val="both"/>
        <w:rPr>
          <w:rFonts w:ascii="Times New Roman" w:eastAsia="Times New Roman" w:hAnsi="Times New Roman" w:cs="Times New Roman"/>
          <w:sz w:val="24"/>
          <w:szCs w:val="24"/>
          <w:lang w:eastAsia="es-CO"/>
        </w:rPr>
      </w:pPr>
      <w:r w:rsidRPr="004A3665">
        <w:rPr>
          <w:rFonts w:ascii="Times New Roman" w:eastAsia="Times New Roman" w:hAnsi="Times New Roman" w:cs="Times New Roman"/>
          <w:sz w:val="24"/>
          <w:szCs w:val="24"/>
          <w:lang w:eastAsia="es-CO"/>
        </w:rPr>
        <w:t> </w:t>
      </w:r>
    </w:p>
    <w:p w:rsidR="004A3665" w:rsidRPr="004A3665" w:rsidRDefault="004A3665" w:rsidP="004A3665">
      <w:pPr>
        <w:spacing w:after="0" w:line="240" w:lineRule="auto"/>
        <w:jc w:val="both"/>
        <w:rPr>
          <w:rFonts w:ascii="Times New Roman" w:eastAsia="Times New Roman" w:hAnsi="Times New Roman" w:cs="Times New Roman"/>
          <w:sz w:val="24"/>
          <w:szCs w:val="24"/>
          <w:lang w:eastAsia="es-CO"/>
        </w:rPr>
      </w:pPr>
      <w:r w:rsidRPr="004A3665">
        <w:rPr>
          <w:rFonts w:ascii="Times New Roman" w:eastAsia="Times New Roman" w:hAnsi="Times New Roman" w:cs="Times New Roman"/>
          <w:b/>
          <w:bCs/>
          <w:sz w:val="24"/>
          <w:szCs w:val="24"/>
          <w:lang w:eastAsia="es-CO"/>
        </w:rPr>
        <w:t>LORENZO CASTILLO BARVO</w:t>
      </w:r>
    </w:p>
    <w:p w:rsidR="004A3665" w:rsidRPr="004A3665" w:rsidRDefault="004A3665" w:rsidP="004A3665">
      <w:pPr>
        <w:spacing w:after="0" w:line="240" w:lineRule="auto"/>
        <w:jc w:val="both"/>
        <w:rPr>
          <w:rFonts w:ascii="Times New Roman" w:eastAsia="Times New Roman" w:hAnsi="Times New Roman" w:cs="Times New Roman"/>
          <w:sz w:val="24"/>
          <w:szCs w:val="24"/>
          <w:lang w:eastAsia="es-CO"/>
        </w:rPr>
      </w:pPr>
      <w:r w:rsidRPr="004A3665">
        <w:rPr>
          <w:rFonts w:ascii="Times New Roman" w:eastAsia="Times New Roman" w:hAnsi="Times New Roman" w:cs="Times New Roman"/>
          <w:sz w:val="24"/>
          <w:szCs w:val="24"/>
          <w:lang w:eastAsia="es-CO"/>
        </w:rPr>
        <w:t>Subdirector de Gestión Normativa y Doctrina (E)</w:t>
      </w:r>
    </w:p>
    <w:p w:rsidR="004A3665" w:rsidRPr="004A3665" w:rsidRDefault="004A3665" w:rsidP="004A3665">
      <w:pPr>
        <w:spacing w:after="0" w:line="240" w:lineRule="auto"/>
        <w:jc w:val="both"/>
        <w:rPr>
          <w:rFonts w:ascii="Times New Roman" w:eastAsia="Times New Roman" w:hAnsi="Times New Roman" w:cs="Times New Roman"/>
          <w:sz w:val="24"/>
          <w:szCs w:val="24"/>
          <w:lang w:eastAsia="es-CO"/>
        </w:rPr>
      </w:pPr>
      <w:r w:rsidRPr="004A3665">
        <w:rPr>
          <w:rFonts w:ascii="Times New Roman" w:eastAsia="Times New Roman" w:hAnsi="Times New Roman" w:cs="Times New Roman"/>
          <w:sz w:val="24"/>
          <w:szCs w:val="24"/>
          <w:lang w:eastAsia="es-CO"/>
        </w:rPr>
        <w:t>Dirección de Gestión Jurídica</w:t>
      </w:r>
    </w:p>
    <w:p w:rsidR="004A3665" w:rsidRPr="004A3665" w:rsidRDefault="004A3665" w:rsidP="004A3665">
      <w:pPr>
        <w:spacing w:after="0" w:line="240" w:lineRule="auto"/>
        <w:jc w:val="both"/>
        <w:rPr>
          <w:rFonts w:ascii="Times New Roman" w:eastAsia="Times New Roman" w:hAnsi="Times New Roman" w:cs="Times New Roman"/>
          <w:sz w:val="24"/>
          <w:szCs w:val="24"/>
          <w:lang w:eastAsia="es-CO"/>
        </w:rPr>
      </w:pPr>
      <w:r w:rsidRPr="004A3665">
        <w:rPr>
          <w:rFonts w:ascii="Times New Roman" w:eastAsia="Times New Roman" w:hAnsi="Times New Roman" w:cs="Times New Roman"/>
          <w:sz w:val="24"/>
          <w:szCs w:val="24"/>
          <w:lang w:eastAsia="es-CO"/>
        </w:rPr>
        <w:t>UAE- Dirección de Impuestos y Aduanas Nacionales</w:t>
      </w:r>
    </w:p>
    <w:p w:rsidR="004A3665" w:rsidRPr="004A3665" w:rsidRDefault="004A3665">
      <w:pPr>
        <w:rPr>
          <w:rFonts w:ascii="Times New Roman" w:hAnsi="Times New Roman" w:cs="Times New Roman"/>
          <w:sz w:val="24"/>
          <w:szCs w:val="24"/>
        </w:rPr>
      </w:pPr>
    </w:p>
    <w:sectPr w:rsidR="004A3665" w:rsidRPr="004A366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665"/>
    <w:rsid w:val="004A366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50118"/>
  <w15:chartTrackingRefBased/>
  <w15:docId w15:val="{67BC30A6-89F5-4A4C-B30A-82E0057D0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67073">
      <w:bodyDiv w:val="1"/>
      <w:marLeft w:val="0"/>
      <w:marRight w:val="0"/>
      <w:marTop w:val="0"/>
      <w:marBottom w:val="0"/>
      <w:divBdr>
        <w:top w:val="none" w:sz="0" w:space="0" w:color="auto"/>
        <w:left w:val="none" w:sz="0" w:space="0" w:color="auto"/>
        <w:bottom w:val="none" w:sz="0" w:space="0" w:color="auto"/>
        <w:right w:val="none" w:sz="0" w:space="0" w:color="auto"/>
      </w:divBdr>
    </w:div>
    <w:div w:id="469204985">
      <w:bodyDiv w:val="1"/>
      <w:marLeft w:val="0"/>
      <w:marRight w:val="0"/>
      <w:marTop w:val="0"/>
      <w:marBottom w:val="0"/>
      <w:divBdr>
        <w:top w:val="none" w:sz="0" w:space="0" w:color="auto"/>
        <w:left w:val="none" w:sz="0" w:space="0" w:color="auto"/>
        <w:bottom w:val="none" w:sz="0" w:space="0" w:color="auto"/>
        <w:right w:val="none" w:sz="0" w:space="0" w:color="auto"/>
      </w:divBdr>
    </w:div>
    <w:div w:id="1723285561">
      <w:bodyDiv w:val="1"/>
      <w:marLeft w:val="0"/>
      <w:marRight w:val="0"/>
      <w:marTop w:val="0"/>
      <w:marBottom w:val="0"/>
      <w:divBdr>
        <w:top w:val="none" w:sz="0" w:space="0" w:color="auto"/>
        <w:left w:val="none" w:sz="0" w:space="0" w:color="auto"/>
        <w:bottom w:val="none" w:sz="0" w:space="0" w:color="auto"/>
        <w:right w:val="none" w:sz="0" w:space="0" w:color="auto"/>
      </w:divBdr>
    </w:div>
    <w:div w:id="2077194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57" TargetMode="External"/><Relationship Id="rId3" Type="http://schemas.openxmlformats.org/officeDocument/2006/relationships/webSettings" Target="webSettings.xml"/><Relationship Id="rId7" Type="http://schemas.openxmlformats.org/officeDocument/2006/relationships/hyperlink" Target="https://www.ceta.org.co/html/vista_de_un_articulo.asp?Norma=5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eta.org.co/html/vista_de_un_articulo.asp?Norma=58" TargetMode="External"/><Relationship Id="rId5" Type="http://schemas.openxmlformats.org/officeDocument/2006/relationships/hyperlink" Target="https://www.ceta.org.co/html/vista_de_un_articulo.asp?Norma=57" TargetMode="External"/><Relationship Id="rId10" Type="http://schemas.openxmlformats.org/officeDocument/2006/relationships/theme" Target="theme/theme1.xml"/><Relationship Id="rId4" Type="http://schemas.openxmlformats.org/officeDocument/2006/relationships/hyperlink" Target="https://www.ceta.org.co/html/vista_de_un_articulo.asp?Norma=405"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1580</Words>
  <Characters>8694</Characters>
  <Application>Microsoft Office Word</Application>
  <DocSecurity>0</DocSecurity>
  <Lines>72</Lines>
  <Paragraphs>20</Paragraphs>
  <ScaleCrop>false</ScaleCrop>
  <Company/>
  <LinksUpToDate>false</LinksUpToDate>
  <CharactersWithSpaces>10254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CNETCO</dc:creator>
  <cp:keywords/>
  <dc:description/>
  <cp:lastModifiedBy>CNETCO</cp:lastModifiedBy>
  <cp:revision>1</cp:revision>
  <dcterms:created xsi:type="dcterms:W3CDTF">2019-11-01T21:42:00Z</dcterms:created>
  <dcterms:modified xsi:type="dcterms:W3CDTF">2019-11-01T21:53:00Z</dcterms:modified>
</cp:coreProperties>
</file>